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17,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TERRA INNOVATUM GLOBAL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 Netherlands</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001-42901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2"/>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Via Matteo Trenta 117, Lucca, Italy</w:t>
            </w:r>
          </w:p>
        </w:tc>
        <w:tc>
          <w:tcPr>
            <w:tcW w:w="1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55100 LU</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+39 0583 55797</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5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of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NKLR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on Form 8-K/A (this “Amendment No. 2”) amends the Current Report on Form 8-K filed by Terra Innovatum Global N.V. (the “Registrant”) with the Securities and Exchange Commission on December 17, 2025, as amended by Amendment No. 1 on Form 8-K/A filed with the SEC on January 7, 2026 (together, the “Original Report”). This Form 8-K/A is being filed to correct certain typographical errors in the Original Filing. Specifically, correcting the compensation for Cesare Frepoli for financial year 2026 from EUR 5000,000 in the Original Filing to EUR 500,000 and certain typographical errors.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Directorship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17, 2025, the Remuneration Committee of the Board of Directors of Terra Innovatum Global N.V. (the “Registrant”) approved Directorship Agreements (the “Agreements”) to be entered into between the Registrant and each of Alessandro Petruzzi, Massimo Morichi and Cesare Frepoli (each a “Manager” and collectively, the “Managers”).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set out certain terms by which the Managers are compensated as officers and executive directors of the Registrant. With the exception of the specific office being held and the compensation, the Agreements are identical.</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Office; Fixed Compensation. </w:t>
      </w:r>
      <w:r>
        <w:rPr>
          <w:rFonts w:ascii="Times New Roman" w:cs="Times New Roman" w:eastAsia="Times New Roman" w:hAnsi="Times New Roman"/>
          <w:sz w:val="18"/>
          <w:szCs w:val="18"/>
          <w:color w:val="auto"/>
        </w:rPr>
        <w:t>Mr. Petruzzi serves as an executive director and chief executive officer for which he will receive fixed annual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financial year 2025 of EUR 500,000 to be received pro rata for months of actual service. For financial year 2026, Mr. Petruzzi will receive fixed compensation of EUR 558,000 payable in 12 monthly payments. Mr. Morichi serves as an executive director and Chief Strategy Officer for which he will receive fixed annual compensation for financial year 2025 of EUR 400,000 to be received pro rata for months of actual service. For financial year 2026, Mr. Morichi will receive fixed compensation of EUR 450,000 payable in 12 monthly payments. Mr. Frepoli serves as an executive director and Chief Operating Officer for which he will receive fixed annual compensation for financial year 2025 of EUR 450,000 to be received pro rata for months of actual service. For financial year 2026, Mr. Frepoli will receive fixed compensation of EUR 500,000 payable in 12 monthly payments.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Bonus. </w:t>
      </w:r>
      <w:r>
        <w:rPr>
          <w:rFonts w:ascii="Times New Roman" w:cs="Times New Roman" w:eastAsia="Times New Roman" w:hAnsi="Times New Roman"/>
          <w:sz w:val="18"/>
          <w:szCs w:val="18"/>
          <w:color w:val="auto"/>
        </w:rPr>
        <w:t>Each of Mr. Petruzzi, Mr. Morichi and Mr. Frepoli will be entitled to receive a bonus based upon the achievement of certain criteria to be set forth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 separate agreement.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w:t>
      </w:r>
      <w:r>
        <w:rPr>
          <w:rFonts w:ascii="Times New Roman" w:cs="Times New Roman" w:eastAsia="Times New Roman" w:hAnsi="Times New Roman"/>
          <w:sz w:val="18"/>
          <w:szCs w:val="18"/>
          <w:color w:val="auto"/>
        </w:rPr>
        <w:t>Each of the Agreements provides for a one-year term ending after the close of the annual general meeting of the Registrant to be held in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annual renewals year to year. Notwithstanding the foregoing, in the event of the termination of service of the Manager as set forth in the Agreement, the Agreement would also be terminated. The Agreements may also be terminated by mutual written consent of the Registrant and the Managers. The Registrant may also terminate the Agreements for just cause of removal and the Manager may terminate the Agreement for just cause of resignation as such terms are defined in the Agreements.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If the term of office is terminated by the Registrant without a just cause of removal or by a Manager for a just cause of resignation,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in connection with a change in control, the Manager would be entitled to a lump sum payment equal to 18 months of fixed compensation plus the target bonus, calculated as if 100% of the target objectives have been achieved, together with a pro-rated bonus accrued for the months of actual service performed during the year of termination, continued healthcare coverage for 18 months and certain outplacement benefits. Any awards under any equity plan that are subject to a vesting schedule will either continue to vest or the vesting schedule will be accelerated depending upon the terms of the underlying award agreements.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w:t>
      </w:r>
      <w:r>
        <w:rPr>
          <w:rFonts w:ascii="Times New Roman" w:cs="Times New Roman" w:eastAsia="Times New Roman" w:hAnsi="Times New Roman"/>
          <w:sz w:val="18"/>
          <w:szCs w:val="18"/>
          <w:color w:val="auto"/>
        </w:rPr>
        <w:t>The Registrant will be the exclusive owner of any intellectual property originated solely by the Manager or jointly with others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serving in the office.</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Non-Disparagement; Non-Solicitation</w:t>
      </w:r>
      <w:r>
        <w:rPr>
          <w:rFonts w:ascii="Times New Roman" w:cs="Times New Roman" w:eastAsia="Times New Roman" w:hAnsi="Times New Roman"/>
          <w:sz w:val="18"/>
          <w:szCs w:val="18"/>
          <w:color w:val="auto"/>
        </w:rPr>
        <w:t>. Each of the Agreements contains customary non disparagement provisions as well as non solicitation restrictions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period of 12 months following termination.</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is only a brief summary of the terms of the Agreements and is qualified in its entirety by reference to the Agreements which are filed as Exhibits 10.1, 10.2 and 10.3 respectively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at the Subsidiary Level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22, 2025, the Remuneration Committee of the Registrant approved certain payments to be made to certain officers of Terra Innovatum s.r.l., the wholly-owned subsidiary of the Registrant. These payments were approved by the Registrant as the sole shareholder of the subsidiary. In recognition of the successful business combination and listing of the Registrant’s ordinary shares on Nasdaq, the following bonus payments were approved: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Bonus Payment</w:t>
            </w:r>
          </w:p>
        </w:tc>
      </w:tr>
      <w:tr>
        <w:trPr>
          <w:trHeight w:val="216"/>
        </w:trPr>
        <w:tc>
          <w:tcPr>
            <w:tcW w:w="9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Alessandro Petruzzi</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Marco Cherubini</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116,832.00</w:t>
            </w:r>
          </w:p>
        </w:tc>
      </w:tr>
      <w:tr>
        <w:trPr>
          <w:trHeight w:val="216"/>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Cesare Frepoli</w:t>
            </w:r>
          </w:p>
        </w:tc>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116,832.00</w:t>
            </w: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Massimo Morichi</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105,144.00</w:t>
            </w:r>
          </w:p>
        </w:tc>
      </w:tr>
      <w:tr>
        <w:trPr>
          <w:trHeight w:val="216"/>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Guillaume Moyen</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100,002.00</w:t>
            </w:r>
          </w:p>
        </w:tc>
      </w:tr>
      <w:tr>
        <w:trPr>
          <w:trHeight w:val="234"/>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Morichi Atelier LLC (Giordano Morichi)</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131,400.00</w:t>
            </w:r>
          </w:p>
        </w:tc>
      </w:tr>
      <w:tr>
        <w:trPr>
          <w:trHeight w:val="630"/>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addition, it was also approved to pay certain additional payments as follows: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Alessandro Petruzzi</w:t>
            </w: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Marco Cherubini</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Cesare Frepoli</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Form of Directorship Agreement between Terra Innovatum Global N.V. and Alessandro Petruzzi</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696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Form of Directorship Agreement between Terra Innovatum Global N.V. and Massimo Morichi</w:t>
              </w:r>
            </w:hyperlink>
          </w:p>
        </w:tc>
        <w:tc>
          <w:tcPr>
            <w:tcW w:w="3140" w:type="dxa"/>
            <w:vAlign w:val="bottom"/>
            <w:tcBorders>
              <w:top w:val="single" w:sz="8" w:color="CCEEFF"/>
            </w:tcBorders>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658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Form of Directorship Agreement between Terra Innovatum Global N.V. and Cesare Frepoli</w:t>
              </w:r>
            </w:hyperlink>
          </w:p>
        </w:tc>
        <w:tc>
          <w:tcPr>
            <w:tcW w:w="3520" w:type="dxa"/>
            <w:vAlign w:val="bottom"/>
            <w:tcBorders>
              <w:bottom w:val="single" w:sz="8" w:color="CCEEFF"/>
            </w:tcBorders>
            <w:gridSpan w:val="3"/>
            <w:shd w:val="clear" w:color="auto" w:fill="CCEEFF"/>
          </w:tcPr>
          <w:p>
            <w:pPr>
              <w:spacing w:after="0"/>
              <w:rPr>
                <w:sz w:val="17"/>
                <w:szCs w:val="17"/>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79" w:lineRule="exact"/>
        <w:rPr>
          <w:sz w:val="20"/>
          <w:szCs w:val="20"/>
          <w:color w:val="auto"/>
        </w:rPr>
      </w:pPr>
    </w:p>
    <w:p>
      <w:pPr>
        <w:ind w:left="5580" w:right="2180" w:hanging="5572"/>
        <w:spacing w:after="0" w:line="783" w:lineRule="auto"/>
        <w:tabs>
          <w:tab w:leader="none" w:pos="3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Current Report on Form 8-K dated December 17, 2025 and filed on December 23, 2025.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TERRA INNOVATUM GLOBAL N.V.</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Alessandro Petruzzi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Alessandro Petruzzi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6" Type="http://schemas.openxmlformats.org/officeDocument/2006/relationships/hyperlink" Target="https://www.sec.gov/Archives/edgar/data/2067627/000121390025125453/ea027086001ex10-1_terra.htm" TargetMode="External"/><Relationship Id="rId17" Type="http://schemas.openxmlformats.org/officeDocument/2006/relationships/hyperlink" Target="https://www.sec.gov/Archives/edgar/data/2067627/000121390025125453/ea027086001ex10-2_terra.htm" TargetMode="External"/><Relationship Id="rId18" Type="http://schemas.openxmlformats.org/officeDocument/2006/relationships/hyperlink" Target="https://www.sec.gov/Archives/edgar/data/2067627/000121390025125453/ea027086001ex10-3_ter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2026-05-22T16:10:48Z</dcterms:created>
  <dcterms:modified xsi:type="dcterms:W3CDTF">2026-05-22T16:10:48Z</dcterms:modified>
</cp:coreProperties>
</file>