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2410-424b3_terra.htm"/>
      <w:bookmarkStart w:id="1" w:name="ksea0302410424b3_terra"/>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333-291423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December 15,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5,475,593 Ordinary Shares Issuable Upon the Exercise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94,804,436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40,200,000 Ordinary Shares Issuable Upon the Mandatory Conversion of Outstanding Preferred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no. 4 (this “Prospectus Supplement”) amends and supplements the prospectus dated December 15, 2025 (as may be supplemented or amended from time to time, the “Prospectus”), which forms part of our Registration Statement on Form S-1 (Registration Statement No. 333-291423). This Prospectus Supplement is being filed to update and supplement the information included or incorporated by reference in the Prospectus with the information contained in the attached Quarterly Report on Form 10-Q, filed with the Securities and Exchange Commission (the “Securities and Exchange Commission”) on August 14, 2026 (the “Form 10-Q”). Accordingly, we have attached the Form 10-Q 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par value €0.01 per share (“Ordinary Shares”) are listed on The Nasdaq Stock Market LLC (“Nasdaq”) under the symbol “NKLR”. On August 14, 2026, the closing price of our Ordinary Shares as reported on Nasdaq was $6.09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 are an “emerging growth company” as that term is defined under the federal securities laws and, as such, are subject to certain reduced public company reporting requirements.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section of our Annual Report on Form 10-K, filed with the Securities and Exchange Commission on June 16, 2026 (the “Form 10-K”), beginning on page 12 of the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August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r>
        <w:rPr>
          <w:rFonts w:ascii="Times New Roman;Times;Serif" w:hAnsi="Times New Roman;Times;Serif"/>
          <w:b w:val="false"/>
          <w:i w:val="false"/>
          <w:caps w:val="false"/>
          <w:smallCaps w:val="false"/>
          <w:sz w:val="20"/>
          <w:u w:val="single"/>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 to 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001-42901</w:t>
      </w:r>
    </w:p>
    <w:p>
      <w:pPr>
        <w:pStyle w:val="TextBody"/>
        <w:bidi w:val="0"/>
        <w:spacing w:before="0" w:after="0"/>
        <w:ind w:left="0" w:right="0" w:hanging="0"/>
        <w:jc w:val="left"/>
        <w:rPr>
          <w:caps w:val="false"/>
          <w:smallCaps w:val="false"/>
        </w:rPr>
      </w:pPr>
      <w:r>
        <w:rPr>
          <w:caps w:val="false"/>
          <w:smallCaps w:val="false"/>
        </w:rPr>
        <w:t> </w:t>
      </w:r>
    </w:p>
    <w:tbl>
      <w:tblPr>
        <w:tblW w:w="4175" w:type="dxa"/>
        <w:jc w:val="left"/>
        <w:tblInd w:w="0" w:type="dxa"/>
        <w:tblLayout w:type="fixed"/>
        <w:tblCellMar>
          <w:top w:w="0" w:type="dxa"/>
          <w:left w:w="0" w:type="dxa"/>
          <w:bottom w:w="28" w:type="dxa"/>
          <w:right w:w="0" w:type="dxa"/>
        </w:tblCellMar>
      </w:tblPr>
      <w:tblGrid>
        <w:gridCol w:w="4175"/>
      </w:tblGrid>
      <w:tr>
        <w:trPr/>
        <w:tc>
          <w:tcPr>
            <w:tcW w:w="4175" w:type="dxa"/>
            <w:tcBorders>
              <w:bottom w:val="single" w:sz="12" w:space="0" w:color="000000"/>
            </w:tcBorders>
            <w:vAlign w:val="center"/>
          </w:tcPr>
          <w:p>
            <w:pPr>
              <w:pStyle w:val="TableContents"/>
              <w:bidi w:val="0"/>
              <w:spacing w:before="0" w:after="283"/>
              <w:jc w:val="center"/>
              <w:rPr>
                <w:b/>
                <w:sz w:val="20"/>
              </w:rPr>
            </w:pPr>
            <w:r>
              <w:rPr>
                <w:b/>
                <w:sz w:val="20"/>
              </w:rPr>
              <w:t>TERRA INNOVATUM GLOBAL N.V.</w:t>
            </w:r>
          </w:p>
        </w:tc>
      </w:tr>
      <w:tr>
        <w:trPr/>
        <w:tc>
          <w:tcPr>
            <w:tcW w:w="417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855"/>
        <w:gridCol w:w="60"/>
        <w:gridCol w:w="1775"/>
      </w:tblGrid>
      <w:tr>
        <w:trPr/>
        <w:tc>
          <w:tcPr>
            <w:tcW w:w="2855" w:type="dxa"/>
            <w:tcBorders>
              <w:bottom w:val="single" w:sz="12" w:space="0" w:color="000000"/>
            </w:tcBorders>
            <w:vAlign w:val="center"/>
          </w:tcPr>
          <w:p>
            <w:pPr>
              <w:pStyle w:val="TableContents"/>
              <w:bidi w:val="0"/>
              <w:spacing w:before="0" w:after="283"/>
              <w:jc w:val="center"/>
              <w:rPr>
                <w:b/>
              </w:rPr>
            </w:pPr>
            <w:r>
              <w:rPr>
                <w:b/>
              </w:rPr>
              <w:t>The Netherlands</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N/A</w:t>
            </w:r>
          </w:p>
        </w:tc>
      </w:tr>
      <w:tr>
        <w:trPr/>
        <w:tc>
          <w:tcPr>
            <w:tcW w:w="2855" w:type="dxa"/>
            <w:tcBorders/>
            <w:tcMar>
              <w:bottom w:w="0" w:type="dxa"/>
            </w:tcMar>
            <w:vAlign w:val="center"/>
          </w:tcPr>
          <w:p>
            <w:pPr>
              <w:pStyle w:val="TableContents"/>
              <w:bidi w:val="0"/>
              <w:spacing w:before="0" w:after="283"/>
              <w:jc w:val="center"/>
              <w:rPr/>
            </w:pPr>
            <w:r>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500" w:type="dxa"/>
        <w:jc w:val="left"/>
        <w:tblInd w:w="0" w:type="dxa"/>
        <w:tblLayout w:type="fixed"/>
        <w:tblCellMar>
          <w:top w:w="0" w:type="dxa"/>
          <w:left w:w="0" w:type="dxa"/>
          <w:bottom w:w="28" w:type="dxa"/>
          <w:right w:w="0" w:type="dxa"/>
        </w:tblCellMar>
      </w:tblPr>
      <w:tblGrid>
        <w:gridCol w:w="4355"/>
        <w:gridCol w:w="60"/>
        <w:gridCol w:w="1085"/>
      </w:tblGrid>
      <w:tr>
        <w:trPr/>
        <w:tc>
          <w:tcPr>
            <w:tcW w:w="4355" w:type="dxa"/>
            <w:tcBorders>
              <w:bottom w:val="single" w:sz="12" w:space="0" w:color="000000"/>
            </w:tcBorders>
            <w:vAlign w:val="center"/>
          </w:tcPr>
          <w:p>
            <w:pPr>
              <w:pStyle w:val="TableContents"/>
              <w:bidi w:val="0"/>
              <w:spacing w:before="0" w:after="283"/>
              <w:jc w:val="center"/>
              <w:rPr>
                <w:b/>
              </w:rPr>
            </w:pPr>
            <w:r>
              <w:rPr>
                <w:b/>
              </w:rPr>
              <w:t>Via Matteo Trenta 117, Lucca, Italy 55100</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55100 LU</w:t>
            </w:r>
          </w:p>
        </w:tc>
      </w:tr>
      <w:tr>
        <w:trPr/>
        <w:tc>
          <w:tcPr>
            <w:tcW w:w="43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tbl>
      <w:tblPr>
        <w:tblW w:w="5045" w:type="dxa"/>
        <w:jc w:val="left"/>
        <w:tblInd w:w="0" w:type="dxa"/>
        <w:tblLayout w:type="fixed"/>
        <w:tblCellMar>
          <w:top w:w="0" w:type="dxa"/>
          <w:left w:w="0" w:type="dxa"/>
          <w:bottom w:w="28" w:type="dxa"/>
          <w:right w:w="0" w:type="dxa"/>
        </w:tblCellMar>
      </w:tblPr>
      <w:tblGrid>
        <w:gridCol w:w="5045"/>
      </w:tblGrid>
      <w:tr>
        <w:trPr/>
        <w:tc>
          <w:tcPr>
            <w:tcW w:w="5045" w:type="dxa"/>
            <w:tcBorders>
              <w:bottom w:val="single" w:sz="12" w:space="0" w:color="000000"/>
            </w:tcBorders>
            <w:vAlign w:val="center"/>
          </w:tcPr>
          <w:p>
            <w:pPr>
              <w:pStyle w:val="TableContents"/>
              <w:bidi w:val="0"/>
              <w:spacing w:before="0" w:after="283"/>
              <w:jc w:val="center"/>
              <w:rPr>
                <w:b/>
              </w:rPr>
            </w:pPr>
            <w:r>
              <w:rPr>
                <w:b/>
              </w:rPr>
              <w:t>+39 0583 55797</w:t>
            </w:r>
          </w:p>
        </w:tc>
      </w:tr>
      <w:tr>
        <w:trPr/>
        <w:tc>
          <w:tcPr>
            <w:tcW w:w="5045" w:type="dxa"/>
            <w:tcBorders/>
            <w:tcMar>
              <w:bottom w:w="0" w:type="dxa"/>
            </w:tcMar>
            <w:vAlign w:val="center"/>
          </w:tcPr>
          <w:p>
            <w:pPr>
              <w:pStyle w:val="TableContents"/>
              <w:bidi w:val="0"/>
              <w:spacing w:before="0" w:after="283"/>
              <w:jc w:val="center"/>
              <w:rPr/>
            </w:pPr>
            <w:r>
              <w:rPr/>
              <w:t>(Registrant’s telephone number, including area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55"/>
        <w:gridCol w:w="60"/>
        <w:gridCol w:w="1837"/>
        <w:gridCol w:w="60"/>
        <w:gridCol w:w="4193"/>
      </w:tblGrid>
      <w:tr>
        <w:trPr/>
        <w:tc>
          <w:tcPr>
            <w:tcW w:w="4055"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37"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193"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055" w:type="dxa"/>
            <w:tcBorders/>
            <w:shd w:fill="CCEEFF" w:val="clear"/>
            <w:tcMar>
              <w:bottom w:w="0" w:type="dxa"/>
            </w:tcMar>
            <w:vAlign w:val="center"/>
          </w:tcPr>
          <w:p>
            <w:pPr>
              <w:pStyle w:val="TableContents"/>
              <w:bidi w:val="0"/>
              <w:spacing w:before="0" w:after="283"/>
              <w:jc w:val="center"/>
              <w:rPr/>
            </w:pPr>
            <w:r>
              <w:rPr/>
              <w:t>Ordinary Shares, par value of €0.01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7" w:type="dxa"/>
            <w:tcBorders/>
            <w:shd w:fill="CCEEFF" w:val="clear"/>
            <w:tcMar>
              <w:bottom w:w="0" w:type="dxa"/>
            </w:tcMar>
            <w:vAlign w:val="center"/>
          </w:tcPr>
          <w:p>
            <w:pPr>
              <w:pStyle w:val="TableContents"/>
              <w:bidi w:val="0"/>
              <w:spacing w:before="0" w:after="283"/>
              <w:jc w:val="center"/>
              <w:rPr/>
            </w:pPr>
            <w:r>
              <w:rPr/>
              <w:t>NKLR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3" w:type="dxa"/>
            <w:tcBorders/>
            <w:shd w:fill="CCEEFF" w:val="clear"/>
            <w:tcMar>
              <w:bottom w:w="0" w:type="dxa"/>
            </w:tcMar>
            <w:vAlign w:val="center"/>
          </w:tcPr>
          <w:p>
            <w:pPr>
              <w:pStyle w:val="TableContents"/>
              <w:bidi w:val="0"/>
              <w:spacing w:before="0" w:after="283"/>
              <w:jc w:val="center"/>
              <w:rPr/>
            </w:pPr>
            <w:r>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registrant is a shell company (as defined in Rule 12b-2 of the Exchange Act).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last business day of our most recently completed second fiscal quarter), based upon the last reported trade on that date, the aggregate market value of the voting and non-voting common equity held by non-affiliates (for this purpose, all outstanding and issued ordinary shares minus shares held by the officers, directors and known holders of 10% or more of the Company’s ordinary shares) was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13, 2026, there were a total of 110,500,908 ordinary shares of the registrant issued and outstanding.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on Form 10-Q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895" w:type="dxa"/>
        <w:jc w:val="left"/>
        <w:tblInd w:w="0" w:type="dxa"/>
        <w:tblLayout w:type="fixed"/>
        <w:tblCellMar>
          <w:top w:w="0" w:type="dxa"/>
          <w:left w:w="0" w:type="dxa"/>
          <w:bottom w:w="0" w:type="dxa"/>
          <w:right w:w="0" w:type="dxa"/>
        </w:tblCellMar>
      </w:tblPr>
      <w:tblGrid>
        <w:gridCol w:w="725"/>
        <w:gridCol w:w="7925"/>
        <w:gridCol w:w="245"/>
      </w:tblGrid>
      <w:tr>
        <w:trPr/>
        <w:tc>
          <w:tcPr>
            <w:tcW w:w="8895" w:type="dxa"/>
            <w:gridSpan w:val="3"/>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b w:val="false"/>
                  <w:i w:val="false"/>
                  <w:caps w:val="false"/>
                  <w:smallCaps w:val="false"/>
                  <w:sz w:val="20"/>
                </w:rPr>
                <w:t>PART I</w:t>
              </w:r>
            </w:hyperlink>
          </w:p>
        </w:tc>
      </w:tr>
      <w:tr>
        <w:trPr/>
        <w:tc>
          <w:tcPr>
            <w:tcW w:w="72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92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Financial Statements.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925"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2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92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2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925"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Controls and Procedures.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72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79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895" w:type="dxa"/>
            <w:gridSpan w:val="3"/>
            <w:tcBorders/>
            <w:shd w:fill="FFFFFF" w:val="clear"/>
            <w:vAlign w:val="center"/>
          </w:tcPr>
          <w:p>
            <w:pPr>
              <w:pStyle w:val="TableContents"/>
              <w:bidi w:val="0"/>
              <w:spacing w:before="0" w:after="283"/>
              <w:jc w:val="center"/>
              <w:rPr/>
            </w:pPr>
            <w:hyperlink w:anchor="a_006">
              <w:r>
                <w:rPr>
                  <w:rStyle w:val="InternetLink"/>
                  <w:rFonts w:ascii="Times New Roman;Times;Serif" w:hAnsi="Times New Roman;Times;Serif"/>
                  <w:b w:val="false"/>
                  <w:i w:val="false"/>
                  <w:caps w:val="false"/>
                  <w:smallCaps w:val="false"/>
                  <w:sz w:val="20"/>
                </w:rPr>
                <w:t>PART II</w:t>
              </w:r>
            </w:hyperlink>
          </w:p>
        </w:tc>
      </w:tr>
      <w:tr>
        <w:trPr/>
        <w:tc>
          <w:tcPr>
            <w:tcW w:w="72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79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925"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Legal Proceedings.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2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92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2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925"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Unregistered Sales of Equity Securities, Use of Proceeds and Issuer Purchases of Equity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2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92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Defaults Upon Senior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2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925"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Mine Safety Disclosures.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2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92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Other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2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925"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Exhibits.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Section 27A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All statements contained in this Form 10-Q, other than statements of historical fact, are based on our management’s beliefs and assumptions and on information currently available to us. These statements relate to future events or to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pStyle w:val="TextBody"/>
        <w:bidi w:val="0"/>
        <w:spacing w:before="0" w:after="0"/>
        <w:ind w:left="0" w:right="0" w:firstLine="360"/>
        <w:jc w:val="both"/>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17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goals and strategies, including our ability to build and commercialize a micro-modular nuclear reactor;</w:t>
            </w:r>
          </w:p>
        </w:tc>
      </w:tr>
    </w:tbl>
    <w:p>
      <w:pPr>
        <w:pStyle w:val="TextBody"/>
        <w:bidi w:val="0"/>
        <w:spacing w:before="0" w:after="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business development, financial condition and results of operations;</w:t>
            </w:r>
          </w:p>
        </w:tc>
      </w:tr>
    </w:tbl>
    <w:p>
      <w:pPr>
        <w:pStyle w:val="TextBody"/>
        <w:bidi w:val="0"/>
        <w:spacing w:before="0" w:after="0"/>
        <w:jc w:val="left"/>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changes in our revenue, costs or expenditures;</w:t>
            </w:r>
          </w:p>
        </w:tc>
      </w:tr>
    </w:tbl>
    <w:p>
      <w:pPr>
        <w:pStyle w:val="TextBody"/>
        <w:bidi w:val="0"/>
        <w:spacing w:before="0" w:after="0"/>
        <w:jc w:val="left"/>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growth of and competition trends in our industry;</w:t>
            </w:r>
          </w:p>
        </w:tc>
      </w:tr>
    </w:tbl>
    <w:p>
      <w:pPr>
        <w:pStyle w:val="TextBody"/>
        <w:bidi w:val="0"/>
        <w:spacing w:before="0" w:after="0"/>
        <w:jc w:val="left"/>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17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demand for, and market acceptance of, our products;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relationships with investors, institutional funding partners and other parties with whom we collaborate;</w:t>
            </w:r>
          </w:p>
        </w:tc>
      </w:tr>
    </w:tbl>
    <w:p>
      <w:pPr>
        <w:pStyle w:val="TextBody"/>
        <w:bidi w:val="0"/>
        <w:spacing w:before="0" w:after="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general economic and business conditions in the markets in which we operate; and</w:t>
            </w:r>
          </w:p>
        </w:tc>
      </w:tr>
    </w:tbl>
    <w:p>
      <w:pPr>
        <w:pStyle w:val="TextBody"/>
        <w:bidi w:val="0"/>
        <w:spacing w:before="0" w:after="0"/>
        <w:jc w:val="left"/>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17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relevant government policies and regulations relating to our industry.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some cases, you can identify forward-looking statements by terms such as “may,” “could,” “will,” “should,” “would,” “expect,” “plan,” “intend,” “anticipate,” “believe,” “estimate,” “predict,” “potential,” “project” or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Part II, Item 1A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of our Annual Report filed on Form 10-K for the year ended December 31, 2025 and our Quarterly Report on Form 10-Q for the quarter ended March 31, 2026, and elsewhere in this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“we expect,” “we anticipate”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report relate only to events or information as of the date on which the statements are made in this report. Except as expressly required by the federal securities laws, there is no undertaking to publicly update or revise any forward-looking statements, whether as a result of new information, future events, changed circumstances or any other reason after the date of this report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report and the documents that we reference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br/>
        <w:t>(formerly Terra Innovatum Global Srl.)</w:t>
        <w:br/>
        <w:t>Interim Condensed Consolidated Balance Sheets</w:t>
        <w:br/>
      </w:r>
      <w:r>
        <w:rPr>
          <w:rFonts w:ascii="Times New Roman;Times;Serif" w:hAnsi="Times New Roman;Times;Serif"/>
          <w:b/>
          <w:i/>
          <w:caps w:val="false"/>
          <w:smallCaps w:val="false"/>
          <w:sz w:val="20"/>
        </w:rPr>
        <w:t>(all amounts in USD)(in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98"/>
        <w:gridCol w:w="60"/>
        <w:gridCol w:w="151"/>
        <w:gridCol w:w="949"/>
        <w:gridCol w:w="95"/>
        <w:gridCol w:w="60"/>
        <w:gridCol w:w="162"/>
        <w:gridCol w:w="1019"/>
        <w:gridCol w:w="111"/>
      </w:tblGrid>
      <w:tr>
        <w:trPr/>
        <w:tc>
          <w:tcPr>
            <w:tcW w:w="7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center"/>
              <w:rPr>
                <w:b/>
              </w:rPr>
            </w:pPr>
            <w:r>
              <w:rPr>
                <w:b/>
              </w:rPr>
              <w:t>December 31,</w:t>
            </w:r>
          </w:p>
        </w:tc>
        <w:tc>
          <w:tcPr>
            <w:tcW w:w="111" w:type="dxa"/>
            <w:tcBorders/>
            <w:vAlign w:val="center"/>
          </w:tcPr>
          <w:p>
            <w:pPr>
              <w:pStyle w:val="TableContents"/>
              <w:bidi w:val="0"/>
              <w:spacing w:before="0" w:after="283"/>
              <w:jc w:val="left"/>
              <w:rPr/>
            </w:pPr>
            <w:r>
              <w:rPr/>
              <w:t> </w:t>
            </w:r>
          </w:p>
        </w:tc>
      </w:tr>
      <w:tr>
        <w:trPr/>
        <w:tc>
          <w:tcPr>
            <w:tcW w:w="7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p>
        </w:tc>
      </w:tr>
      <w:tr>
        <w:trPr/>
        <w:tc>
          <w:tcPr>
            <w:tcW w:w="75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left"/>
              <w:rPr/>
            </w:pPr>
            <w:r>
              <w:rPr/>
              <w:t> </w:t>
            </w:r>
          </w:p>
        </w:tc>
      </w:tr>
      <w:tr>
        <w:trPr/>
        <w:tc>
          <w:tcPr>
            <w:tcW w:w="7598"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7598"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91,055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019" w:type="dxa"/>
            <w:tcBorders/>
            <w:shd w:fill="CCEEFF" w:val="clear"/>
            <w:vAlign w:val="center"/>
          </w:tcPr>
          <w:p>
            <w:pPr>
              <w:pStyle w:val="TableContents"/>
              <w:bidi w:val="0"/>
              <w:spacing w:before="0" w:after="283"/>
              <w:jc w:val="right"/>
              <w:rPr/>
            </w:pPr>
            <w:r>
              <w:rPr/>
              <w:t>102,882</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4</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pPr>
            <w:r>
              <w:rPr/>
              <w:t>6,626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3,148</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b/>
              </w:rPr>
            </w:pPr>
            <w:r>
              <w:rPr>
                <w:b/>
              </w:rPr>
              <w:t>97,681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b/>
              </w:rPr>
            </w:pPr>
            <w:r>
              <w:rPr>
                <w:b/>
              </w:rPr>
              <w:t>106,034</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Equipment,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102</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98,520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1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106,136</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b/>
              </w:rPr>
            </w:pPr>
            <w:r>
              <w:rPr>
                <w:b/>
              </w:rPr>
              <w:t>Liabilities and shareholders’ deficit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949" w:type="dxa"/>
            <w:tcBorders/>
            <w:shd w:fill="FFFFFF" w:val="clear"/>
            <w:vAlign w:val="center"/>
          </w:tcPr>
          <w:p>
            <w:pPr>
              <w:pStyle w:val="TableContents"/>
              <w:bidi w:val="0"/>
              <w:spacing w:before="0" w:after="283"/>
              <w:jc w:val="right"/>
              <w:rPr/>
            </w:pPr>
            <w:r>
              <w:rPr/>
              <w:t>2,258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w:t>
            </w:r>
          </w:p>
        </w:tc>
        <w:tc>
          <w:tcPr>
            <w:tcW w:w="1019" w:type="dxa"/>
            <w:tcBorders/>
            <w:shd w:fill="FFFFFF" w:val="clear"/>
            <w:vAlign w:val="center"/>
          </w:tcPr>
          <w:p>
            <w:pPr>
              <w:pStyle w:val="TableContents"/>
              <w:bidi w:val="0"/>
              <w:spacing w:before="0" w:after="283"/>
              <w:jc w:val="right"/>
              <w:rPr/>
            </w:pPr>
            <w:r>
              <w:rPr/>
              <w:t>1,150</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4,295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2,009</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b/>
              </w:rPr>
            </w:pPr>
            <w:r>
              <w:rPr>
                <w:b/>
              </w:rPr>
              <w:t>6,579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b/>
              </w:rPr>
            </w:pPr>
            <w:r>
              <w:rPr>
                <w:b/>
              </w:rPr>
              <w:t>3,159</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pPr>
            <w:r>
              <w:rPr/>
              <w:t>Share-settled contingent liability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196,527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186,323</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10,513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10,236</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8</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214,015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199,726</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Commitments and contingencies (Note 11)</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b/>
              </w:rPr>
            </w:pPr>
            <w:r>
              <w:rPr>
                <w:b/>
              </w:rPr>
              <w:t>Shareholders’ deficit: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598" w:type="dxa"/>
            <w:tcBorders/>
            <w:shd w:fill="CCEEFF" w:val="clear"/>
            <w:vAlign w:val="center"/>
          </w:tcPr>
          <w:p>
            <w:pPr>
              <w:pStyle w:val="TableContents"/>
              <w:bidi w:val="0"/>
              <w:spacing w:before="0" w:after="283"/>
              <w:jc w:val="left"/>
              <w:rPr/>
            </w:pPr>
            <w:r>
              <w:rPr/>
              <w:t>Ordinary shares (€0.01 par value, 500,000,000 shares authorized as of June 30, 2026 and December 31, 2025; 110,226,198 shares issued and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1,281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1,281</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598" w:type="dxa"/>
            <w:tcBorders/>
            <w:shd w:fill="FFFFFF" w:val="clear"/>
            <w:vAlign w:val="center"/>
          </w:tcPr>
          <w:p>
            <w:pPr>
              <w:pStyle w:val="TableContents"/>
              <w:bidi w:val="0"/>
              <w:spacing w:before="0" w:after="283"/>
              <w:jc w:val="left"/>
              <w:rPr/>
            </w:pPr>
            <w:r>
              <w:rPr/>
              <w:t>Convertible Preferred Shares (€100 par value, 8,040 shares authorized as of June 30, 2026 and December 31, 2025; 20 shares issued and outstanding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3,086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3,086</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598"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519,422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519,422</w:t>
            </w:r>
          </w:p>
        </w:tc>
        <w:tc>
          <w:tcPr>
            <w:tcW w:w="111" w:type="dxa"/>
            <w:tcBorders/>
            <w:shd w:fill="FFFFFF" w:val="clear"/>
            <w:vAlign w:val="center"/>
          </w:tcPr>
          <w:p>
            <w:pPr>
              <w:pStyle w:val="TableContents"/>
              <w:bidi w:val="0"/>
              <w:spacing w:before="0" w:after="283"/>
              <w:jc w:val="left"/>
              <w:rPr/>
            </w:pPr>
            <w:r>
              <w:rPr/>
              <w:t> </w:t>
            </w:r>
          </w:p>
        </w:tc>
      </w:tr>
      <w:tr>
        <w:trPr/>
        <w:tc>
          <w:tcPr>
            <w:tcW w:w="7598"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(632,426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(607,276</w:t>
            </w:r>
          </w:p>
        </w:tc>
        <w:tc>
          <w:tcPr>
            <w:tcW w:w="111" w:type="dxa"/>
            <w:tcBorders/>
            <w:shd w:fill="CCEEFF" w:val="clear"/>
            <w:vAlign w:val="center"/>
          </w:tcPr>
          <w:p>
            <w:pPr>
              <w:pStyle w:val="TableContents"/>
              <w:bidi w:val="0"/>
              <w:spacing w:before="0" w:after="283"/>
              <w:jc w:val="left"/>
              <w:rPr/>
            </w:pPr>
            <w:r>
              <w:rPr/>
              <w:t>)</w:t>
            </w:r>
          </w:p>
        </w:tc>
      </w:tr>
      <w:tr>
        <w:trPr/>
        <w:tc>
          <w:tcPr>
            <w:tcW w:w="7598"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(6,858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(10,103</w:t>
            </w:r>
          </w:p>
        </w:tc>
        <w:tc>
          <w:tcPr>
            <w:tcW w:w="111" w:type="dxa"/>
            <w:tcBorders/>
            <w:shd w:fill="FFFFFF" w:val="clear"/>
            <w:vAlign w:val="center"/>
          </w:tcPr>
          <w:p>
            <w:pPr>
              <w:pStyle w:val="TableContents"/>
              <w:bidi w:val="0"/>
              <w:spacing w:before="0" w:after="283"/>
              <w:jc w:val="left"/>
              <w:rPr/>
            </w:pPr>
            <w:r>
              <w:rPr/>
              <w:t>)</w:t>
            </w:r>
          </w:p>
        </w:tc>
      </w:tr>
      <w:tr>
        <w:trPr/>
        <w:tc>
          <w:tcPr>
            <w:tcW w:w="7598" w:type="dxa"/>
            <w:tcBorders/>
            <w:shd w:fill="CCEEFF" w:val="clear"/>
            <w:vAlign w:val="center"/>
          </w:tcPr>
          <w:p>
            <w:pPr>
              <w:pStyle w:val="TableContents"/>
              <w:bidi w:val="0"/>
              <w:spacing w:before="0" w:after="283"/>
              <w:jc w:val="left"/>
              <w:rPr>
                <w:b/>
              </w:rPr>
            </w:pPr>
            <w:r>
              <w:rPr>
                <w:b/>
              </w:rPr>
              <w:t>Total shareholders’ deficit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(115,495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(93,590</w:t>
            </w:r>
          </w:p>
        </w:tc>
        <w:tc>
          <w:tcPr>
            <w:tcW w:w="111" w:type="dxa"/>
            <w:tcBorders/>
            <w:shd w:fill="CCEEFF" w:val="clear"/>
            <w:vAlign w:val="center"/>
          </w:tcPr>
          <w:p>
            <w:pPr>
              <w:pStyle w:val="TableContents"/>
              <w:bidi w:val="0"/>
              <w:spacing w:before="0" w:after="283"/>
              <w:jc w:val="left"/>
              <w:rPr>
                <w:b/>
              </w:rPr>
            </w:pPr>
            <w:r>
              <w:rPr>
                <w:b/>
              </w:rPr>
              <w:t>)</w:t>
            </w:r>
          </w:p>
        </w:tc>
      </w:tr>
      <w:tr>
        <w:trPr/>
        <w:tc>
          <w:tcPr>
            <w:tcW w:w="7598" w:type="dxa"/>
            <w:tcBorders/>
            <w:shd w:fill="FFFFFF" w:val="clear"/>
            <w:vAlign w:val="center"/>
          </w:tcPr>
          <w:p>
            <w:pPr>
              <w:pStyle w:val="TableContents"/>
              <w:bidi w:val="0"/>
              <w:spacing w:before="0" w:after="283"/>
              <w:jc w:val="left"/>
              <w:rPr>
                <w:b/>
              </w:rPr>
            </w:pPr>
            <w:r>
              <w:rPr>
                <w:b/>
              </w:rPr>
              <w:t>Total liabilities and shareholders’ deficit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4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98,520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1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106,136</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accompanying notes are an integral part of these interim condensed consolidated financial statements.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br/>
        <w:t>(formerly Terra Innovatum Global Srl.)</w:t>
        <w:br/>
        <w:t>Interim Condensed Consolidated Statements of Operations and Comprehensive Income</w:t>
        <w:br/>
        <w:t>(all amounts in USD)(in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78"/>
        <w:gridCol w:w="60"/>
        <w:gridCol w:w="148"/>
        <w:gridCol w:w="1294"/>
        <w:gridCol w:w="100"/>
        <w:gridCol w:w="63"/>
        <w:gridCol w:w="148"/>
        <w:gridCol w:w="1166"/>
        <w:gridCol w:w="95"/>
        <w:gridCol w:w="60"/>
        <w:gridCol w:w="140"/>
        <w:gridCol w:w="1231"/>
        <w:gridCol w:w="95"/>
        <w:gridCol w:w="60"/>
        <w:gridCol w:w="140"/>
        <w:gridCol w:w="1109"/>
        <w:gridCol w:w="118"/>
      </w:tblGrid>
      <w:tr>
        <w:trPr/>
        <w:tc>
          <w:tcPr>
            <w:tcW w:w="41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8" w:type="dxa"/>
            <w:tcBorders/>
            <w:vAlign w:val="center"/>
          </w:tcPr>
          <w:p>
            <w:pPr>
              <w:pStyle w:val="TableContents"/>
              <w:bidi w:val="0"/>
              <w:spacing w:before="0" w:after="283"/>
              <w:jc w:val="left"/>
              <w:rPr/>
            </w:pPr>
            <w:r>
              <w:rPr/>
              <w:t> </w:t>
            </w:r>
          </w:p>
        </w:tc>
      </w:tr>
      <w:tr>
        <w:trPr/>
        <w:tc>
          <w:tcPr>
            <w:tcW w:w="41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8" w:type="dxa"/>
            <w:tcBorders/>
            <w:vAlign w:val="center"/>
          </w:tcPr>
          <w:p>
            <w:pPr>
              <w:pStyle w:val="TableContents"/>
              <w:bidi w:val="0"/>
              <w:spacing w:before="0" w:after="283"/>
              <w:jc w:val="left"/>
              <w:rPr/>
            </w:pPr>
            <w:r>
              <w:rPr/>
              <w:t> </w:t>
            </w:r>
          </w:p>
        </w:tc>
      </w:tr>
      <w:tr>
        <w:trPr/>
        <w:tc>
          <w:tcPr>
            <w:tcW w:w="41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9" w:type="dxa"/>
            <w:gridSpan w:val="6"/>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5" w:type="dxa"/>
            <w:gridSpan w:val="6"/>
            <w:tcBorders/>
            <w:vAlign w:val="center"/>
          </w:tcPr>
          <w:p>
            <w:pPr>
              <w:pStyle w:val="TableContents"/>
              <w:bidi w:val="0"/>
              <w:spacing w:before="0" w:after="283"/>
              <w:jc w:val="center"/>
              <w:rPr/>
            </w:pPr>
            <w:r>
              <w:rPr/>
              <w:t>Unaudited</w:t>
            </w:r>
          </w:p>
        </w:tc>
        <w:tc>
          <w:tcPr>
            <w:tcW w:w="118" w:type="dxa"/>
            <w:tcBorders/>
            <w:vAlign w:val="center"/>
          </w:tcPr>
          <w:p>
            <w:pPr>
              <w:pStyle w:val="TableContents"/>
              <w:bidi w:val="0"/>
              <w:spacing w:before="0" w:after="283"/>
              <w:jc w:val="left"/>
              <w:rPr/>
            </w:pPr>
            <w:r>
              <w:rPr/>
              <w:t> </w:t>
            </w:r>
          </w:p>
        </w:tc>
      </w:tr>
      <w:tr>
        <w:trPr/>
        <w:tc>
          <w:tcPr>
            <w:tcW w:w="4178"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1442"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4" w:type="dxa"/>
            <w:tcBorders/>
            <w:shd w:fill="CCEEFF" w:val="clear"/>
            <w:vAlign w:val="center"/>
          </w:tcPr>
          <w:p>
            <w:pPr>
              <w:pStyle w:val="TableContents"/>
              <w:bidi w:val="0"/>
              <w:spacing w:before="0" w:after="283"/>
              <w:jc w:val="right"/>
              <w:rPr/>
            </w:pPr>
            <w:r>
              <w:rPr/>
              <w:t>4,598</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2,104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31" w:type="dxa"/>
            <w:tcBorders/>
            <w:shd w:fill="CCEEFF" w:val="clear"/>
            <w:vAlign w:val="center"/>
          </w:tcPr>
          <w:p>
            <w:pPr>
              <w:pStyle w:val="TableContents"/>
              <w:bidi w:val="0"/>
              <w:spacing w:before="0" w:after="283"/>
              <w:jc w:val="right"/>
              <w:rPr/>
            </w:pPr>
            <w:r>
              <w:rPr/>
              <w:t>9,994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3,520</w:t>
            </w:r>
          </w:p>
        </w:tc>
        <w:tc>
          <w:tcPr>
            <w:tcW w:w="118" w:type="dxa"/>
            <w:tcBorders/>
            <w:shd w:fill="CCEEFF" w:val="clear"/>
            <w:vAlign w:val="center"/>
          </w:tcPr>
          <w:p>
            <w:pPr>
              <w:pStyle w:val="TableContents"/>
              <w:bidi w:val="0"/>
              <w:spacing w:before="0" w:after="283"/>
              <w:jc w:val="left"/>
              <w:rPr/>
            </w:pPr>
            <w:r>
              <w:rPr/>
              <w:t> </w:t>
            </w:r>
          </w:p>
        </w:tc>
      </w:tr>
      <w:tr>
        <w:trPr/>
        <w:tc>
          <w:tcPr>
            <w:tcW w:w="4178" w:type="dxa"/>
            <w:tcBorders/>
            <w:shd w:fill="FFFFFF" w:val="clear"/>
            <w:vAlign w:val="center"/>
          </w:tcPr>
          <w:p>
            <w:pPr>
              <w:pStyle w:val="TableContents"/>
              <w:bidi w:val="0"/>
              <w:spacing w:before="0" w:after="283"/>
              <w:jc w:val="left"/>
              <w:rPr/>
            </w:pPr>
            <w:r>
              <w:rPr/>
              <w:t>Development costs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1,481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FFFFFF" w:val="clear"/>
            <w:tcMar>
              <w:bottom w:w="28" w:type="dxa"/>
            </w:tcMar>
            <w:vAlign w:val="center"/>
          </w:tcPr>
          <w:p>
            <w:pPr>
              <w:pStyle w:val="TableContents"/>
              <w:bidi w:val="0"/>
              <w:spacing w:before="0" w:after="283"/>
              <w:jc w:val="right"/>
              <w:rPr/>
            </w:pPr>
            <w:r>
              <w:rPr/>
              <w:t>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FFFFFF" w:val="clear"/>
            <w:tcMar>
              <w:bottom w:w="28" w:type="dxa"/>
            </w:tcMar>
            <w:vAlign w:val="center"/>
          </w:tcPr>
          <w:p>
            <w:pPr>
              <w:pStyle w:val="TableContents"/>
              <w:bidi w:val="0"/>
              <w:spacing w:before="0" w:after="283"/>
              <w:jc w:val="right"/>
              <w:rPr/>
            </w:pPr>
            <w:r>
              <w:rPr/>
              <w:t>2,719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pPr>
            <w:r>
              <w:rPr/>
              <w:t>89</w:t>
            </w:r>
          </w:p>
        </w:tc>
        <w:tc>
          <w:tcPr>
            <w:tcW w:w="118" w:type="dxa"/>
            <w:tcBorders/>
            <w:shd w:fill="FFFFFF" w:val="clear"/>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pPr>
            <w:r>
              <w:rPr/>
              <w:t>6,079</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CCEEFF" w:val="clear"/>
            <w:tcMar>
              <w:bottom w:w="28" w:type="dxa"/>
            </w:tcMar>
            <w:vAlign w:val="center"/>
          </w:tcPr>
          <w:p>
            <w:pPr>
              <w:pStyle w:val="TableContents"/>
              <w:bidi w:val="0"/>
              <w:spacing w:before="0" w:after="283"/>
              <w:jc w:val="right"/>
              <w:rPr/>
            </w:pPr>
            <w:r>
              <w:rPr/>
              <w:t>12,713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pPr>
            <w:r>
              <w:rPr/>
              <w:t>3,609</w:t>
            </w:r>
          </w:p>
        </w:tc>
        <w:tc>
          <w:tcPr>
            <w:tcW w:w="118" w:type="dxa"/>
            <w:tcBorders/>
            <w:shd w:fill="CCEEFF" w:val="clear"/>
            <w:vAlign w:val="center"/>
          </w:tcPr>
          <w:p>
            <w:pPr>
              <w:pStyle w:val="TableContents"/>
              <w:bidi w:val="0"/>
              <w:spacing w:before="0" w:after="283"/>
              <w:jc w:val="left"/>
              <w:rPr/>
            </w:pPr>
            <w:r>
              <w:rPr/>
              <w:t> </w:t>
            </w:r>
          </w:p>
        </w:tc>
      </w:tr>
      <w:tr>
        <w:trPr/>
        <w:tc>
          <w:tcPr>
            <w:tcW w:w="4178"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(6,079</w:t>
            </w:r>
          </w:p>
        </w:tc>
        <w:tc>
          <w:tcPr>
            <w:tcW w:w="100" w:type="dxa"/>
            <w:tcBorders/>
            <w:shd w:fill="FFFFFF" w:val="clear"/>
            <w:vAlign w:val="center"/>
          </w:tcPr>
          <w:p>
            <w:pPr>
              <w:pStyle w:val="TableContents"/>
              <w:bidi w:val="0"/>
              <w:spacing w:before="0" w:after="283"/>
              <w:jc w:val="left"/>
              <w:rPr>
                <w:b/>
              </w:rPr>
            </w:pPr>
            <w:r>
              <w:rPr>
                <w:b/>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(2,160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(12,713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(3,609</w:t>
            </w:r>
          </w:p>
        </w:tc>
        <w:tc>
          <w:tcPr>
            <w:tcW w:w="118" w:type="dxa"/>
            <w:tcBorders/>
            <w:shd w:fill="FFFFFF" w:val="clear"/>
            <w:vAlign w:val="center"/>
          </w:tcPr>
          <w:p>
            <w:pPr>
              <w:pStyle w:val="TableContents"/>
              <w:bidi w:val="0"/>
              <w:spacing w:before="0" w:after="283"/>
              <w:jc w:val="left"/>
              <w:rPr>
                <w:b/>
              </w:rPr>
            </w:pPr>
            <w:r>
              <w:rPr>
                <w:b/>
              </w:rPr>
              <w:t>)</w:t>
            </w:r>
          </w:p>
        </w:tc>
      </w:tr>
      <w:tr>
        <w:trPr/>
        <w:tc>
          <w:tcPr>
            <w:tcW w:w="41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r>
      <w:tr>
        <w:trPr/>
        <w:tc>
          <w:tcPr>
            <w:tcW w:w="4178" w:type="dxa"/>
            <w:tcBorders/>
            <w:shd w:fill="FFFFFF" w:val="clear"/>
            <w:vAlign w:val="center"/>
          </w:tcPr>
          <w:p>
            <w:pPr>
              <w:pStyle w:val="TableContents"/>
              <w:bidi w:val="0"/>
              <w:spacing w:before="0" w:after="283"/>
              <w:jc w:val="left"/>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283"/>
              <w:jc w:val="left"/>
              <w:rPr/>
            </w:pPr>
            <w:r>
              <w:rPr/>
              <w:t>Other income (expenses)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1,190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3,970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(244</w:t>
            </w:r>
          </w:p>
        </w:tc>
        <w:tc>
          <w:tcPr>
            <w:tcW w:w="118" w:type="dxa"/>
            <w:tcBorders/>
            <w:shd w:fill="CCEEFF" w:val="clear"/>
            <w:vAlign w:val="center"/>
          </w:tcPr>
          <w:p>
            <w:pPr>
              <w:pStyle w:val="TableContents"/>
              <w:bidi w:val="0"/>
              <w:spacing w:before="0" w:after="283"/>
              <w:jc w:val="left"/>
              <w:rPr/>
            </w:pPr>
            <w:r>
              <w:rPr/>
              <w:t>)</w:t>
            </w:r>
          </w:p>
        </w:tc>
      </w:tr>
      <w:tr>
        <w:trPr/>
        <w:tc>
          <w:tcPr>
            <w:tcW w:w="4178" w:type="dxa"/>
            <w:tcBorders/>
            <w:shd w:fill="FFFFFF" w:val="clear"/>
            <w:vAlign w:val="center"/>
          </w:tcPr>
          <w:p>
            <w:pPr>
              <w:pStyle w:val="TableContents"/>
              <w:bidi w:val="0"/>
              <w:spacing w:before="0" w:after="283"/>
              <w:jc w:val="left"/>
              <w:rPr/>
            </w:pPr>
            <w:r>
              <w:rPr/>
              <w:t>Change in fair value - share settled contingent liability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(12,492</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(15,827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283"/>
              <w:jc w:val="left"/>
              <w:rPr/>
            </w:pPr>
            <w:r>
              <w:rPr/>
              <w:t>Change in fair value - warrant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pPr>
            <w:r>
              <w:rPr/>
              <w:t>(663</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1,260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CCEEFF" w:val="clear"/>
            <w:tcMar>
              <w:bottom w:w="28" w:type="dxa"/>
            </w:tcMar>
            <w:vAlign w:val="center"/>
          </w:tcPr>
          <w:p>
            <w:pPr>
              <w:pStyle w:val="TableContents"/>
              <w:bidi w:val="0"/>
              <w:spacing w:before="0" w:after="283"/>
              <w:jc w:val="right"/>
              <w:rPr/>
            </w:pPr>
            <w:r>
              <w:rPr/>
              <w:t>(580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pPr>
            <w:r>
              <w:rPr/>
              <w:t>1,260</w:t>
            </w:r>
          </w:p>
        </w:tc>
        <w:tc>
          <w:tcPr>
            <w:tcW w:w="118" w:type="dxa"/>
            <w:tcBorders/>
            <w:shd w:fill="CCEEFF" w:val="clear"/>
            <w:vAlign w:val="center"/>
          </w:tcPr>
          <w:p>
            <w:pPr>
              <w:pStyle w:val="TableContents"/>
              <w:bidi w:val="0"/>
              <w:spacing w:before="0" w:after="283"/>
              <w:jc w:val="left"/>
              <w:rPr/>
            </w:pPr>
            <w:r>
              <w:rPr/>
              <w:t> </w:t>
            </w:r>
          </w:p>
        </w:tc>
      </w:tr>
      <w:tr>
        <w:trPr/>
        <w:tc>
          <w:tcPr>
            <w:tcW w:w="4178" w:type="dxa"/>
            <w:tcBorders/>
            <w:shd w:fill="FFFFFF" w:val="clear"/>
            <w:vAlign w:val="center"/>
          </w:tcPr>
          <w:p>
            <w:pPr>
              <w:pStyle w:val="TableContents"/>
              <w:bidi w:val="0"/>
              <w:spacing w:before="0" w:after="283"/>
              <w:jc w:val="left"/>
              <w:rPr/>
            </w:pPr>
            <w:r>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(11,965</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FFFFFF" w:val="clear"/>
            <w:tcMar>
              <w:bottom w:w="28" w:type="dxa"/>
            </w:tcMar>
            <w:vAlign w:val="center"/>
          </w:tcPr>
          <w:p>
            <w:pPr>
              <w:pStyle w:val="TableContents"/>
              <w:bidi w:val="0"/>
              <w:spacing w:before="0" w:after="283"/>
              <w:jc w:val="right"/>
              <w:rPr/>
            </w:pPr>
            <w:r>
              <w:rPr/>
              <w:t>(12,437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pPr>
            <w:r>
              <w:rPr/>
              <w:t>1,016</w:t>
            </w:r>
          </w:p>
        </w:tc>
        <w:tc>
          <w:tcPr>
            <w:tcW w:w="118" w:type="dxa"/>
            <w:tcBorders/>
            <w:shd w:fill="FFFFFF" w:val="clear"/>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283"/>
              <w:jc w:val="left"/>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b/>
              </w:rPr>
            </w:pPr>
            <w:r>
              <w:rPr>
                <w:b/>
              </w:rPr>
              <w:t>(18,044</w:t>
            </w:r>
          </w:p>
        </w:tc>
        <w:tc>
          <w:tcPr>
            <w:tcW w:w="100" w:type="dxa"/>
            <w:tcBorders/>
            <w:shd w:fill="CCEEFF" w:val="clear"/>
            <w:vAlign w:val="center"/>
          </w:tcPr>
          <w:p>
            <w:pPr>
              <w:pStyle w:val="TableContents"/>
              <w:bidi w:val="0"/>
              <w:spacing w:before="0" w:after="283"/>
              <w:jc w:val="left"/>
              <w:rPr>
                <w:b/>
              </w:rPr>
            </w:pPr>
            <w:r>
              <w:rPr>
                <w:b/>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b/>
              </w:rPr>
            </w:pPr>
            <w:r>
              <w:rPr>
                <w:b/>
              </w:rPr>
              <w:t>(1,145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b/>
              </w:rPr>
            </w:pPr>
            <w:r>
              <w:rPr>
                <w:b/>
              </w:rPr>
              <w:t>(25,150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b/>
              </w:rPr>
            </w:pPr>
            <w:r>
              <w:rPr>
                <w:b/>
              </w:rPr>
              <w:t>(2,593</w:t>
            </w:r>
          </w:p>
        </w:tc>
        <w:tc>
          <w:tcPr>
            <w:tcW w:w="118" w:type="dxa"/>
            <w:tcBorders/>
            <w:shd w:fill="CCEEFF" w:val="clear"/>
            <w:vAlign w:val="center"/>
          </w:tcPr>
          <w:p>
            <w:pPr>
              <w:pStyle w:val="TableContents"/>
              <w:bidi w:val="0"/>
              <w:spacing w:before="0" w:after="283"/>
              <w:jc w:val="left"/>
              <w:rPr>
                <w:b/>
              </w:rPr>
            </w:pPr>
            <w:r>
              <w:rPr>
                <w:b/>
              </w:rPr>
              <w:t>)</w:t>
            </w:r>
          </w:p>
        </w:tc>
      </w:tr>
      <w:tr>
        <w:trPr/>
        <w:tc>
          <w:tcPr>
            <w:tcW w:w="4178" w:type="dxa"/>
            <w:tcBorders/>
            <w:shd w:fill="FFFFFF" w:val="clear"/>
            <w:vAlign w:val="center"/>
          </w:tcPr>
          <w:p>
            <w:pPr>
              <w:pStyle w:val="TableContents"/>
              <w:bidi w:val="0"/>
              <w:spacing w:before="0" w:after="283"/>
              <w:jc w:val="left"/>
              <w:rPr>
                <w:b/>
              </w:rPr>
            </w:pPr>
            <w:r>
              <w:rPr>
                <w:b/>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(18,044</w:t>
            </w:r>
          </w:p>
        </w:tc>
        <w:tc>
          <w:tcPr>
            <w:tcW w:w="100" w:type="dxa"/>
            <w:tcBorders/>
            <w:shd w:fill="CCEEFF" w:val="clear"/>
            <w:vAlign w:val="center"/>
          </w:tcPr>
          <w:p>
            <w:pPr>
              <w:pStyle w:val="TableContents"/>
              <w:bidi w:val="0"/>
              <w:spacing w:before="0" w:after="283"/>
              <w:jc w:val="left"/>
              <w:rPr>
                <w:b/>
              </w:rPr>
            </w:pPr>
            <w:r>
              <w:rPr>
                <w:b/>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3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(25,150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(2,593</w:t>
            </w:r>
          </w:p>
        </w:tc>
        <w:tc>
          <w:tcPr>
            <w:tcW w:w="118" w:type="dxa"/>
            <w:tcBorders/>
            <w:shd w:fill="CCEEFF" w:val="clear"/>
            <w:vAlign w:val="center"/>
          </w:tcPr>
          <w:p>
            <w:pPr>
              <w:pStyle w:val="TableContents"/>
              <w:bidi w:val="0"/>
              <w:spacing w:before="0" w:after="283"/>
              <w:jc w:val="left"/>
              <w:rPr>
                <w:b/>
              </w:rPr>
            </w:pPr>
            <w:r>
              <w:rPr>
                <w:b/>
              </w:rPr>
              <w:t>)</w:t>
            </w:r>
          </w:p>
        </w:tc>
      </w:tr>
      <w:tr>
        <w:trPr/>
        <w:tc>
          <w:tcPr>
            <w:tcW w:w="4178" w:type="dxa"/>
            <w:tcBorders/>
            <w:shd w:fill="FFFFFF" w:val="clear"/>
            <w:vAlign w:val="center"/>
          </w:tcPr>
          <w:p>
            <w:pPr>
              <w:pStyle w:val="TableContents"/>
              <w:bidi w:val="0"/>
              <w:spacing w:before="0" w:after="283"/>
              <w:jc w:val="left"/>
              <w:rPr>
                <w:b/>
              </w:rPr>
            </w:pPr>
            <w:r>
              <w:rPr>
                <w:b/>
              </w:rPr>
              <w:t>Other comprehensive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r>
      <w:tr>
        <w:trPr/>
        <w:tc>
          <w:tcPr>
            <w:tcW w:w="4178" w:type="dxa"/>
            <w:tcBorders/>
            <w:shd w:fill="CCEEFF" w:val="clear"/>
            <w:vAlign w:val="center"/>
          </w:tcPr>
          <w:p>
            <w:pPr>
              <w:pStyle w:val="TableContents"/>
              <w:bidi w:val="0"/>
              <w:spacing w:before="0" w:after="283"/>
              <w:jc w:val="left"/>
              <w:rPr/>
            </w:pPr>
            <w:r>
              <w:rPr/>
              <w:t>Change in 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pPr>
            <w:r>
              <w:rPr/>
              <w:t>1,241</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CCEEFF" w:val="clear"/>
            <w:tcMar>
              <w:bottom w:w="28" w:type="dxa"/>
            </w:tcMar>
            <w:vAlign w:val="center"/>
          </w:tcPr>
          <w:p>
            <w:pPr>
              <w:pStyle w:val="TableContents"/>
              <w:bidi w:val="0"/>
              <w:spacing w:before="0" w:after="283"/>
              <w:jc w:val="right"/>
              <w:rPr/>
            </w:pPr>
            <w:r>
              <w:rPr/>
              <w:t>3,245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pPr>
            <w:r>
              <w:rPr/>
              <w:t>17</w:t>
            </w:r>
          </w:p>
        </w:tc>
        <w:tc>
          <w:tcPr>
            <w:tcW w:w="118" w:type="dxa"/>
            <w:tcBorders/>
            <w:shd w:fill="CCEEFF" w:val="clear"/>
            <w:vAlign w:val="center"/>
          </w:tcPr>
          <w:p>
            <w:pPr>
              <w:pStyle w:val="TableContents"/>
              <w:bidi w:val="0"/>
              <w:spacing w:before="0" w:after="283"/>
              <w:jc w:val="left"/>
              <w:rPr/>
            </w:pPr>
            <w:r>
              <w:rPr/>
              <w:t> </w:t>
            </w:r>
          </w:p>
        </w:tc>
      </w:tr>
      <w:tr>
        <w:trPr/>
        <w:tc>
          <w:tcPr>
            <w:tcW w:w="4178" w:type="dxa"/>
            <w:tcBorders/>
            <w:shd w:fill="FFFFFF" w:val="clear"/>
            <w:vAlign w:val="center"/>
          </w:tcPr>
          <w:p>
            <w:pPr>
              <w:pStyle w:val="TableContents"/>
              <w:bidi w:val="0"/>
              <w:spacing w:before="0" w:after="283"/>
              <w:jc w:val="left"/>
              <w:rPr>
                <w:b/>
              </w:rPr>
            </w:pPr>
            <w:r>
              <w:rPr>
                <w:b/>
              </w:rPr>
              <w:t>Total comprehensive loss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(16,803</w:t>
            </w:r>
          </w:p>
        </w:tc>
        <w:tc>
          <w:tcPr>
            <w:tcW w:w="100" w:type="dxa"/>
            <w:tcBorders/>
            <w:shd w:fill="FFFFFF" w:val="clear"/>
            <w:vAlign w:val="center"/>
          </w:tcPr>
          <w:p>
            <w:pPr>
              <w:pStyle w:val="TableContents"/>
              <w:bidi w:val="0"/>
              <w:spacing w:before="0" w:after="283"/>
              <w:jc w:val="left"/>
              <w:rPr>
                <w:b/>
              </w:rPr>
            </w:pPr>
            <w:r>
              <w:rPr>
                <w:b/>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6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(1,134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3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(21,905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(2,576</w:t>
            </w:r>
          </w:p>
        </w:tc>
        <w:tc>
          <w:tcPr>
            <w:tcW w:w="118" w:type="dxa"/>
            <w:tcBorders/>
            <w:shd w:fill="FFFFFF" w:val="clear"/>
            <w:vAlign w:val="center"/>
          </w:tcPr>
          <w:p>
            <w:pPr>
              <w:pStyle w:val="TableContents"/>
              <w:bidi w:val="0"/>
              <w:spacing w:before="0" w:after="283"/>
              <w:jc w:val="left"/>
              <w:rPr>
                <w:b/>
              </w:rPr>
            </w:pPr>
            <w:r>
              <w:rPr>
                <w:b/>
              </w:rPr>
              <w:t>)</w:t>
            </w:r>
          </w:p>
        </w:tc>
      </w:tr>
      <w:tr>
        <w:trPr/>
        <w:tc>
          <w:tcPr>
            <w:tcW w:w="41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r>
      <w:tr>
        <w:trPr/>
        <w:tc>
          <w:tcPr>
            <w:tcW w:w="4178" w:type="dxa"/>
            <w:tcBorders/>
            <w:shd w:fill="FFFFFF" w:val="clear"/>
            <w:vAlign w:val="center"/>
          </w:tcPr>
          <w:p>
            <w:pPr>
              <w:pStyle w:val="TableContents"/>
              <w:bidi w:val="0"/>
              <w:spacing w:before="0" w:after="283"/>
              <w:jc w:val="left"/>
              <w:rPr>
                <w:b/>
              </w:rPr>
            </w:pPr>
            <w:r>
              <w:rPr>
                <w:b/>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(0.16</w:t>
            </w:r>
          </w:p>
        </w:tc>
        <w:tc>
          <w:tcPr>
            <w:tcW w:w="100" w:type="dxa"/>
            <w:tcBorders/>
            <w:shd w:fill="FFFFFF" w:val="clear"/>
            <w:vAlign w:val="center"/>
          </w:tcPr>
          <w:p>
            <w:pPr>
              <w:pStyle w:val="TableContents"/>
              <w:bidi w:val="0"/>
              <w:spacing w:before="0" w:after="283"/>
              <w:jc w:val="left"/>
              <w:rPr>
                <w:b/>
              </w:rPr>
            </w:pPr>
            <w:r>
              <w:rPr>
                <w:b/>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6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(0.02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3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(0.23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(0.05</w:t>
            </w:r>
          </w:p>
        </w:tc>
        <w:tc>
          <w:tcPr>
            <w:tcW w:w="118" w:type="dxa"/>
            <w:tcBorders/>
            <w:shd w:fill="FFFFFF" w:val="clear"/>
            <w:vAlign w:val="center"/>
          </w:tcPr>
          <w:p>
            <w:pPr>
              <w:pStyle w:val="TableContents"/>
              <w:bidi w:val="0"/>
              <w:spacing w:before="0" w:after="283"/>
              <w:jc w:val="left"/>
              <w:rPr>
                <w:b/>
              </w:rPr>
            </w:pPr>
            <w:r>
              <w:rPr>
                <w:b/>
              </w:rPr>
              <w:t>)</w:t>
            </w:r>
          </w:p>
        </w:tc>
      </w:tr>
      <w:tr>
        <w:trPr/>
        <w:tc>
          <w:tcPr>
            <w:tcW w:w="4178" w:type="dxa"/>
            <w:tcBorders/>
            <w:shd w:fill="CCEEFF" w:val="clear"/>
            <w:vAlign w:val="center"/>
          </w:tcPr>
          <w:p>
            <w:pPr>
              <w:pStyle w:val="TableContents"/>
              <w:bidi w:val="0"/>
              <w:spacing w:before="0" w:after="283"/>
              <w:jc w:val="left"/>
              <w:rPr>
                <w:b/>
              </w:rPr>
            </w:pPr>
            <w:r>
              <w:rPr>
                <w:b/>
              </w:rPr>
              <w:t>Weighted-average ordinary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110,226,198</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110,226,198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47,500,000</w:t>
            </w:r>
          </w:p>
        </w:tc>
        <w:tc>
          <w:tcPr>
            <w:tcW w:w="11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interim condensed consolidated financial statements.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br/>
        <w:t>(Formerly Terra Innovatum Global Srl.)</w:t>
        <w:br/>
        <w:t>Interim Condensed Consolidated Statements of Changes in Shareholders’ Deficit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 amounts in USD)(in thousands)</w:t>
      </w:r>
    </w:p>
    <w:p>
      <w:pPr>
        <w:pStyle w:val="TextBody"/>
        <w:bidi w:val="0"/>
        <w:spacing w:before="0" w:after="0"/>
        <w:ind w:left="0" w:right="0" w:hanging="0"/>
        <w:jc w:val="center"/>
        <w:rPr>
          <w:caps w:val="false"/>
          <w:smallCaps w:val="false"/>
        </w:rPr>
      </w:pPr>
      <w:r>
        <w:rPr>
          <w:caps w:val="false"/>
          <w:smallCaps w:val="false"/>
        </w:rPr>
        <w:t> </w:t>
      </w:r>
    </w:p>
    <w:tbl>
      <w:tblPr>
        <w:tblW w:w="12408" w:type="dxa"/>
        <w:jc w:val="left"/>
        <w:tblInd w:w="0" w:type="dxa"/>
        <w:tblLayout w:type="fixed"/>
        <w:tblCellMar>
          <w:top w:w="0" w:type="dxa"/>
          <w:left w:w="0" w:type="dxa"/>
          <w:bottom w:w="0" w:type="dxa"/>
          <w:right w:w="0" w:type="dxa"/>
        </w:tblCellMar>
      </w:tblPr>
      <w:tblGrid>
        <w:gridCol w:w="1025"/>
        <w:gridCol w:w="60"/>
        <w:gridCol w:w="140"/>
        <w:gridCol w:w="995"/>
        <w:gridCol w:w="60"/>
        <w:gridCol w:w="60"/>
        <w:gridCol w:w="132"/>
        <w:gridCol w:w="578"/>
        <w:gridCol w:w="64"/>
        <w:gridCol w:w="64"/>
        <w:gridCol w:w="214"/>
        <w:gridCol w:w="646"/>
        <w:gridCol w:w="60"/>
        <w:gridCol w:w="60"/>
        <w:gridCol w:w="60"/>
        <w:gridCol w:w="1220"/>
        <w:gridCol w:w="60"/>
        <w:gridCol w:w="60"/>
        <w:gridCol w:w="172"/>
        <w:gridCol w:w="688"/>
        <w:gridCol w:w="60"/>
        <w:gridCol w:w="60"/>
        <w:gridCol w:w="163"/>
        <w:gridCol w:w="937"/>
        <w:gridCol w:w="60"/>
        <w:gridCol w:w="60"/>
        <w:gridCol w:w="188"/>
        <w:gridCol w:w="1182"/>
        <w:gridCol w:w="95"/>
        <w:gridCol w:w="60"/>
        <w:gridCol w:w="239"/>
        <w:gridCol w:w="1296"/>
        <w:gridCol w:w="95"/>
        <w:gridCol w:w="60"/>
        <w:gridCol w:w="182"/>
        <w:gridCol w:w="1143"/>
        <w:gridCol w:w="110"/>
      </w:tblGrid>
      <w:tr>
        <w:trPr/>
        <w:tc>
          <w:tcPr>
            <w:tcW w:w="1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98"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5" w:type="dxa"/>
            <w:gridSpan w:val="2"/>
            <w:tcBorders/>
            <w:vAlign w:val="center"/>
          </w:tcPr>
          <w:p>
            <w:pPr>
              <w:pStyle w:val="TableContents"/>
              <w:bidi w:val="0"/>
              <w:spacing w:before="0" w:after="283"/>
              <w:jc w:val="center"/>
              <w:rPr>
                <w:b/>
              </w:rPr>
            </w:pPr>
            <w:r>
              <w:rPr>
                <w:b/>
              </w:rPr>
              <w:t>Corporate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Convertible</w:t>
              <w:br/>
              <w:t>Preferred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before="0" w:after="283"/>
              <w:jc w:val="center"/>
              <w:rPr>
                <w:b/>
              </w:rPr>
            </w:pPr>
            <w:r>
              <w:rPr>
                <w:b/>
              </w:rPr>
              <w:t>other comprehensive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vAlign w:val="center"/>
          </w:tcPr>
          <w:p>
            <w:pPr>
              <w:pStyle w:val="TableContents"/>
              <w:bidi w:val="0"/>
              <w:spacing w:before="0" w:after="283"/>
              <w:jc w:val="center"/>
              <w:rPr>
                <w:b/>
              </w:rPr>
            </w:pPr>
            <w:r>
              <w:rPr>
                <w:b/>
              </w:rPr>
              <w:t>Total</w:t>
              <w:br/>
              <w:t>shareholders’</w:t>
            </w:r>
          </w:p>
        </w:tc>
        <w:tc>
          <w:tcPr>
            <w:tcW w:w="110" w:type="dxa"/>
            <w:tcBorders/>
            <w:vAlign w:val="center"/>
          </w:tcPr>
          <w:p>
            <w:pPr>
              <w:pStyle w:val="TableContents"/>
              <w:bidi w:val="0"/>
              <w:spacing w:before="0" w:after="283"/>
              <w:jc w:val="center"/>
              <w:rPr/>
            </w:pPr>
            <w:r>
              <w:rPr/>
              <w:t> </w:t>
            </w:r>
          </w:p>
        </w:tc>
      </w:tr>
      <w:tr>
        <w:trPr/>
        <w:tc>
          <w:tcPr>
            <w:tcW w:w="1025" w:type="dxa"/>
            <w:tcBorders>
              <w:bottom w:val="single" w:sz="12" w:space="0" w:color="000000"/>
            </w:tcBorders>
            <w:tcMar>
              <w:bottom w:w="28" w:type="dxa"/>
            </w:tcMar>
            <w:vAlign w:val="center"/>
          </w:tcPr>
          <w:p>
            <w:pPr>
              <w:pStyle w:val="TableContents"/>
              <w:bidi w:val="0"/>
              <w:spacing w:before="0" w:after="283"/>
              <w:jc w:val="left"/>
              <w:rPr/>
            </w:pPr>
            <w:r>
              <w:rPr/>
              <w:t>Unaudited</w:t>
            </w:r>
          </w:p>
        </w:tc>
        <w:tc>
          <w:tcPr>
            <w:tcW w:w="60" w:type="dxa"/>
            <w:tcBorders/>
            <w:vAlign w:val="center"/>
          </w:tcPr>
          <w:p>
            <w:pPr>
              <w:pStyle w:val="TableContents"/>
              <w:bidi w:val="0"/>
              <w:spacing w:before="0" w:after="283"/>
              <w:jc w:val="center"/>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ind w:left="0" w:right="0" w:hanging="180"/>
              <w:jc w:val="center"/>
              <w:rPr/>
            </w:pPr>
            <w:r>
              <w:rPr/>
              <w:t> </w:t>
            </w:r>
          </w:p>
        </w:tc>
      </w:tr>
      <w:tr>
        <w:trPr/>
        <w:tc>
          <w:tcPr>
            <w:tcW w:w="1025" w:type="dxa"/>
            <w:tcBorders/>
            <w:shd w:fill="CCEEFF" w:val="clear"/>
            <w:vAlign w:val="center"/>
          </w:tcPr>
          <w:p>
            <w:pPr>
              <w:pStyle w:val="TableContents"/>
              <w:bidi w:val="0"/>
              <w:spacing w:before="0" w:after="283"/>
              <w:jc w:val="left"/>
              <w:rPr>
                <w:b/>
              </w:rPr>
            </w:pPr>
            <w:r>
              <w:rPr>
                <w:b/>
              </w:rPr>
              <w:t>Balance at January 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95"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4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110,226,198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519,422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(607,276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(10,103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4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(93,590</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10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(7,106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b/>
              </w:rPr>
            </w:pPr>
            <w:r>
              <w:rPr>
                <w:b/>
              </w:rPr>
              <w:t>(7,106</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1025"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2,004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2,004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025" w:type="dxa"/>
            <w:tcBorders/>
            <w:shd w:fill="FFFFFF" w:val="clear"/>
            <w:vAlign w:val="center"/>
          </w:tcPr>
          <w:p>
            <w:pPr>
              <w:pStyle w:val="TableContents"/>
              <w:bidi w:val="0"/>
              <w:spacing w:before="0" w:after="283"/>
              <w:jc w:val="left"/>
              <w:rPr>
                <w:b/>
              </w:rPr>
            </w:pPr>
            <w:r>
              <w:rPr>
                <w:b/>
              </w:rPr>
              <w:t>Balance at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7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4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110,226,198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519,422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(614,382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(8,099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(98,692</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102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(18,044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(18,044</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1025"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pPr>
            <w:r>
              <w:rPr/>
              <w:t>1,241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1,241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025" w:type="dxa"/>
            <w:tcBorders/>
            <w:shd w:fill="CCEEFF" w:val="clear"/>
            <w:vAlign w:val="center"/>
          </w:tcPr>
          <w:p>
            <w:pPr>
              <w:pStyle w:val="TableContents"/>
              <w:bidi w:val="0"/>
              <w:spacing w:before="0" w:after="283"/>
              <w:jc w:val="left"/>
              <w:rPr>
                <w:b/>
              </w:rPr>
            </w:pPr>
            <w:r>
              <w:rPr>
                <w:b/>
              </w:rPr>
              <w:t>Balance at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4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110,226,198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519,422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(632,426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(6,858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4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(115,495</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tbl>
      <w:tblPr>
        <w:tblW w:w="13145" w:type="dxa"/>
        <w:jc w:val="left"/>
        <w:tblInd w:w="0" w:type="dxa"/>
        <w:tblLayout w:type="fixed"/>
        <w:tblCellMar>
          <w:top w:w="0" w:type="dxa"/>
          <w:left w:w="0" w:type="dxa"/>
          <w:bottom w:w="0" w:type="dxa"/>
          <w:right w:w="0" w:type="dxa"/>
        </w:tblCellMar>
      </w:tblPr>
      <w:tblGrid>
        <w:gridCol w:w="1325"/>
        <w:gridCol w:w="60"/>
        <w:gridCol w:w="172"/>
        <w:gridCol w:w="913"/>
        <w:gridCol w:w="95"/>
        <w:gridCol w:w="60"/>
        <w:gridCol w:w="60"/>
        <w:gridCol w:w="815"/>
        <w:gridCol w:w="60"/>
        <w:gridCol w:w="60"/>
        <w:gridCol w:w="140"/>
        <w:gridCol w:w="1055"/>
        <w:gridCol w:w="60"/>
        <w:gridCol w:w="60"/>
        <w:gridCol w:w="60"/>
        <w:gridCol w:w="1100"/>
        <w:gridCol w:w="60"/>
        <w:gridCol w:w="60"/>
        <w:gridCol w:w="231"/>
        <w:gridCol w:w="629"/>
        <w:gridCol w:w="60"/>
        <w:gridCol w:w="60"/>
        <w:gridCol w:w="220"/>
        <w:gridCol w:w="880"/>
        <w:gridCol w:w="95"/>
        <w:gridCol w:w="60"/>
        <w:gridCol w:w="247"/>
        <w:gridCol w:w="1123"/>
        <w:gridCol w:w="95"/>
        <w:gridCol w:w="60"/>
        <w:gridCol w:w="140"/>
        <w:gridCol w:w="1475"/>
        <w:gridCol w:w="60"/>
        <w:gridCol w:w="60"/>
        <w:gridCol w:w="239"/>
        <w:gridCol w:w="1086"/>
        <w:gridCol w:w="110"/>
      </w:tblGrid>
      <w:tr>
        <w:trPr/>
        <w:tc>
          <w:tcPr>
            <w:tcW w:w="1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90"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5" w:type="dxa"/>
            <w:gridSpan w:val="2"/>
            <w:tcBorders/>
            <w:vAlign w:val="center"/>
          </w:tcPr>
          <w:p>
            <w:pPr>
              <w:pStyle w:val="TableContents"/>
              <w:bidi w:val="0"/>
              <w:spacing w:before="0" w:after="283"/>
              <w:jc w:val="center"/>
              <w:rPr>
                <w:b/>
              </w:rPr>
            </w:pPr>
            <w:r>
              <w:rPr>
                <w:b/>
              </w:rPr>
              <w:t>Accumulated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5" w:type="dxa"/>
            <w:gridSpan w:val="2"/>
            <w:tcBorders/>
            <w:vAlign w:val="center"/>
          </w:tcPr>
          <w:p>
            <w:pPr>
              <w:pStyle w:val="TableContents"/>
              <w:bidi w:val="0"/>
              <w:spacing w:before="0" w:after="283"/>
              <w:jc w:val="center"/>
              <w:rPr>
                <w:b/>
              </w:rPr>
            </w:pPr>
            <w:r>
              <w:rPr>
                <w:b/>
              </w:rPr>
              <w:t>Corporate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Convertible</w:t>
              <w:br/>
              <w:t>Preferred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5" w:type="dxa"/>
            <w:gridSpan w:val="2"/>
            <w:tcBorders/>
            <w:vAlign w:val="center"/>
          </w:tcPr>
          <w:p>
            <w:pPr>
              <w:pStyle w:val="TableContents"/>
              <w:bidi w:val="0"/>
              <w:spacing w:before="0" w:after="283"/>
              <w:jc w:val="center"/>
              <w:rPr>
                <w:b/>
              </w:rPr>
            </w:pPr>
            <w:r>
              <w:rPr>
                <w:b/>
              </w:rPr>
              <w:t>other comprehensive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vAlign w:val="center"/>
          </w:tcPr>
          <w:p>
            <w:pPr>
              <w:pStyle w:val="TableContents"/>
              <w:bidi w:val="0"/>
              <w:spacing w:before="0" w:after="283"/>
              <w:jc w:val="center"/>
              <w:rPr>
                <w:b/>
              </w:rPr>
            </w:pPr>
            <w:r>
              <w:rPr>
                <w:b/>
              </w:rPr>
              <w:t>Total</w:t>
              <w:br/>
              <w:t>shareholders’</w:t>
            </w:r>
          </w:p>
        </w:tc>
        <w:tc>
          <w:tcPr>
            <w:tcW w:w="110" w:type="dxa"/>
            <w:tcBorders/>
            <w:vAlign w:val="center"/>
          </w:tcPr>
          <w:p>
            <w:pPr>
              <w:pStyle w:val="TableContents"/>
              <w:bidi w:val="0"/>
              <w:spacing w:before="0" w:after="283"/>
              <w:jc w:val="center"/>
              <w:rPr/>
            </w:pPr>
            <w:r>
              <w:rPr/>
              <w:t> </w:t>
            </w:r>
          </w:p>
        </w:tc>
      </w:tr>
      <w:tr>
        <w:trPr/>
        <w:tc>
          <w:tcPr>
            <w:tcW w:w="1325" w:type="dxa"/>
            <w:tcBorders>
              <w:bottom w:val="single" w:sz="12" w:space="0" w:color="000000"/>
            </w:tcBorders>
            <w:tcMar>
              <w:bottom w:w="28" w:type="dxa"/>
            </w:tcMar>
            <w:vAlign w:val="center"/>
          </w:tcPr>
          <w:p>
            <w:pPr>
              <w:pStyle w:val="TableContents"/>
              <w:bidi w:val="0"/>
              <w:spacing w:before="0" w:after="283"/>
              <w:jc w:val="left"/>
              <w:rPr/>
            </w:pPr>
            <w:r>
              <w:rPr/>
              <w:t>Unaudited</w:t>
            </w:r>
          </w:p>
        </w:tc>
        <w:tc>
          <w:tcPr>
            <w:tcW w:w="60" w:type="dxa"/>
            <w:tcBorders/>
            <w:vAlign w:val="center"/>
          </w:tcPr>
          <w:p>
            <w:pPr>
              <w:pStyle w:val="TableContents"/>
              <w:bidi w:val="0"/>
              <w:spacing w:before="0" w:after="283"/>
              <w:jc w:val="center"/>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ind w:left="0" w:right="0" w:hanging="180"/>
              <w:jc w:val="center"/>
              <w:rPr/>
            </w:pPr>
            <w:r>
              <w:rPr/>
              <w:t> </w:t>
            </w:r>
          </w:p>
        </w:tc>
      </w:tr>
      <w:tr>
        <w:trPr/>
        <w:tc>
          <w:tcPr>
            <w:tcW w:w="1325" w:type="dxa"/>
            <w:tcBorders/>
            <w:shd w:fill="CCEEFF" w:val="clear"/>
            <w:vAlign w:val="center"/>
          </w:tcPr>
          <w:p>
            <w:pPr>
              <w:pStyle w:val="TableContents"/>
              <w:bidi w:val="0"/>
              <w:spacing w:before="0" w:after="283"/>
              <w:jc w:val="left"/>
              <w:rPr>
                <w:b/>
              </w:rPr>
            </w:pPr>
            <w:r>
              <w:rPr>
                <w:b/>
              </w:rPr>
              <w:t>Balance at January 1, 2024</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913" w:type="dxa"/>
            <w:tcBorders/>
            <w:shd w:fill="CCEEFF" w:val="clear"/>
            <w:vAlign w:val="center"/>
          </w:tcPr>
          <w:p>
            <w:pPr>
              <w:pStyle w:val="TableContents"/>
              <w:bidi w:val="0"/>
              <w:spacing w:before="0" w:after="283"/>
              <w:jc w:val="right"/>
              <w:rPr/>
            </w:pPr>
            <w:r>
              <w:rPr/>
              <w:t>          </w:t>
            </w:r>
            <w:r>
              <w:rPr>
                <w:b/>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pPr>
            <w:r>
              <w:rPr/>
              <w:t>                </w:t>
            </w: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b/>
              </w:rPr>
            </w:pPr>
            <w:r>
              <w:rPr>
                <w:b/>
              </w:rPr>
              <w:t>$</w:t>
            </w:r>
          </w:p>
        </w:tc>
        <w:tc>
          <w:tcPr>
            <w:tcW w:w="880"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b/>
              </w:rPr>
            </w:pPr>
            <w:r>
              <w:rPr>
                <w:b/>
              </w:rPr>
              <w:t>$</w:t>
            </w:r>
          </w:p>
        </w:tc>
        <w:tc>
          <w:tcPr>
            <w:tcW w:w="1123" w:type="dxa"/>
            <w:tcBorders/>
            <w:shd w:fill="CCEEFF" w:val="clear"/>
            <w:vAlign w:val="center"/>
          </w:tcPr>
          <w:p>
            <w:pPr>
              <w:pStyle w:val="TableContents"/>
              <w:bidi w:val="0"/>
              <w:spacing w:before="0" w:after="283"/>
              <w:jc w:val="right"/>
              <w:rPr>
                <w:b/>
              </w:rPr>
            </w:pPr>
            <w:r>
              <w:rPr>
                <w:b/>
              </w:rPr>
              <w:t>(3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475" w:type="dxa"/>
            <w:tcBorders/>
            <w:shd w:fill="CCEEFF" w:val="clear"/>
            <w:vAlign w:val="center"/>
          </w:tcPr>
          <w:p>
            <w:pPr>
              <w:pStyle w:val="TableContents"/>
              <w:bidi w:val="0"/>
              <w:spacing w:before="0" w:after="283"/>
              <w:jc w:val="right"/>
              <w:rPr/>
            </w:pPr>
            <w:r>
              <w:rPr/>
              <w:t>                       </w:t>
            </w: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b/>
              </w:rPr>
            </w:pPr>
            <w:r>
              <w:rPr>
                <w:b/>
              </w:rPr>
              <w:t>$</w:t>
            </w:r>
          </w:p>
        </w:tc>
        <w:tc>
          <w:tcPr>
            <w:tcW w:w="1086" w:type="dxa"/>
            <w:tcBorders/>
            <w:shd w:fill="CCEEFF" w:val="cle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25" w:type="dxa"/>
            <w:tcBorders/>
            <w:shd w:fill="FFFFFF" w:val="clear"/>
            <w:vAlign w:val="center"/>
          </w:tcPr>
          <w:p>
            <w:pPr>
              <w:pStyle w:val="TableContents"/>
              <w:bidi w:val="0"/>
              <w:spacing w:before="0" w:after="283"/>
              <w:jc w:val="left"/>
              <w:rPr/>
            </w:pPr>
            <w:r>
              <w:rPr/>
              <w:t>Retrospective application of the Business Combination</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47,500,000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(548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25" w:type="dxa"/>
            <w:tcBorders/>
            <w:shd w:fill="CCEEFF" w:val="clear"/>
            <w:vAlign w:val="center"/>
          </w:tcPr>
          <w:p>
            <w:pPr>
              <w:pStyle w:val="TableContents"/>
              <w:bidi w:val="0"/>
              <w:spacing w:before="0" w:after="283"/>
              <w:jc w:val="left"/>
              <w:rPr>
                <w:b/>
              </w:rPr>
            </w:pPr>
            <w:r>
              <w:rPr>
                <w:b/>
              </w:rPr>
              <w:t>Adjusted balances at beginning of period</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913"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47,500,000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b/>
              </w:rPr>
            </w:pPr>
            <w:r>
              <w:rPr>
                <w:b/>
              </w:rPr>
              <w:t>$</w:t>
            </w:r>
          </w:p>
        </w:tc>
        <w:tc>
          <w:tcPr>
            <w:tcW w:w="880" w:type="dxa"/>
            <w:tcBorders/>
            <w:shd w:fill="CCEEFF" w:val="clear"/>
            <w:vAlign w:val="center"/>
          </w:tcPr>
          <w:p>
            <w:pPr>
              <w:pStyle w:val="TableContents"/>
              <w:bidi w:val="0"/>
              <w:spacing w:before="0" w:after="283"/>
              <w:jc w:val="right"/>
              <w:rPr>
                <w:b/>
              </w:rPr>
            </w:pPr>
            <w:r>
              <w:rPr>
                <w:b/>
              </w:rPr>
              <w:t>(548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b/>
              </w:rPr>
            </w:pPr>
            <w:r>
              <w:rPr>
                <w:b/>
              </w:rPr>
              <w:t>$</w:t>
            </w:r>
          </w:p>
        </w:tc>
        <w:tc>
          <w:tcPr>
            <w:tcW w:w="1123" w:type="dxa"/>
            <w:tcBorders/>
            <w:shd w:fill="CCEEFF" w:val="clear"/>
            <w:vAlign w:val="center"/>
          </w:tcPr>
          <w:p>
            <w:pPr>
              <w:pStyle w:val="TableContents"/>
              <w:bidi w:val="0"/>
              <w:spacing w:before="0" w:after="283"/>
              <w:jc w:val="right"/>
              <w:rPr>
                <w:b/>
              </w:rPr>
            </w:pPr>
            <w:r>
              <w:rPr>
                <w:b/>
              </w:rPr>
              <w:t>(3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475"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b/>
              </w:rPr>
            </w:pPr>
            <w:r>
              <w:rPr>
                <w:b/>
              </w:rPr>
              <w:t>$</w:t>
            </w:r>
          </w:p>
        </w:tc>
        <w:tc>
          <w:tcPr>
            <w:tcW w:w="1086" w:type="dxa"/>
            <w:tcBorders/>
            <w:shd w:fill="CCEEFF" w:val="cle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b/>
              </w:rPr>
            </w:pPr>
            <w:r>
              <w:rPr>
                <w:b/>
              </w:rPr>
              <w:t>(34</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1325"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5"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25" w:type="dxa"/>
            <w:tcBorders/>
            <w:shd w:fill="FFFFFF" w:val="clear"/>
            <w:vAlign w:val="center"/>
          </w:tcPr>
          <w:p>
            <w:pPr>
              <w:pStyle w:val="TableContents"/>
              <w:bidi w:val="0"/>
              <w:spacing w:before="0" w:after="283"/>
              <w:jc w:val="left"/>
              <w:rPr>
                <w:b/>
              </w:rPr>
            </w:pPr>
            <w:r>
              <w:rPr>
                <w:b/>
              </w:rPr>
              <w:t>Balance at December 31, 2024</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b/>
              </w:rPr>
            </w:pPr>
            <w:r>
              <w:rPr>
                <w:b/>
              </w:rPr>
              <w:t>$</w:t>
            </w:r>
          </w:p>
        </w:tc>
        <w:tc>
          <w:tcPr>
            <w:tcW w:w="913"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055"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47,500,000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b/>
              </w:rPr>
            </w:pPr>
            <w:r>
              <w:rPr>
                <w:b/>
              </w:rPr>
              <w:t>$</w:t>
            </w:r>
          </w:p>
        </w:tc>
        <w:tc>
          <w:tcPr>
            <w:tcW w:w="629" w:type="dxa"/>
            <w:tcBorders/>
            <w:shd w:fill="FFFFFF" w:val="clear"/>
            <w:vAlign w:val="center"/>
          </w:tcPr>
          <w:p>
            <w:pPr>
              <w:pStyle w:val="TableContents"/>
              <w:bidi w:val="0"/>
              <w:spacing w:before="0" w:after="283"/>
              <w:jc w:val="right"/>
              <w:rPr>
                <w:b/>
              </w:rPr>
            </w:pPr>
            <w:r>
              <w:rPr>
                <w:b/>
              </w:rPr>
              <w:t>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b/>
              </w:rPr>
            </w:pPr>
            <w:r>
              <w:rPr>
                <w:b/>
              </w:rPr>
              <w:t>$</w:t>
            </w:r>
          </w:p>
        </w:tc>
        <w:tc>
          <w:tcPr>
            <w:tcW w:w="880" w:type="dxa"/>
            <w:tcBorders/>
            <w:shd w:fill="FFFFFF" w:val="clear"/>
            <w:vAlign w:val="center"/>
          </w:tcPr>
          <w:p>
            <w:pPr>
              <w:pStyle w:val="TableContents"/>
              <w:bidi w:val="0"/>
              <w:spacing w:before="0" w:after="283"/>
              <w:jc w:val="right"/>
              <w:rPr>
                <w:b/>
              </w:rPr>
            </w:pPr>
            <w:r>
              <w:rPr>
                <w:b/>
              </w:rPr>
              <w:t>(548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b/>
              </w:rPr>
            </w:pPr>
            <w:r>
              <w:rPr>
                <w:b/>
              </w:rPr>
              <w:t>$</w:t>
            </w:r>
          </w:p>
        </w:tc>
        <w:tc>
          <w:tcPr>
            <w:tcW w:w="1123" w:type="dxa"/>
            <w:tcBorders/>
            <w:shd w:fill="FFFFFF" w:val="clear"/>
            <w:vAlign w:val="center"/>
          </w:tcPr>
          <w:p>
            <w:pPr>
              <w:pStyle w:val="TableContents"/>
              <w:bidi w:val="0"/>
              <w:spacing w:before="0" w:after="283"/>
              <w:jc w:val="right"/>
              <w:rPr>
                <w:b/>
              </w:rPr>
            </w:pPr>
            <w:r>
              <w:rPr>
                <w:b/>
              </w:rPr>
              <w:t>(37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475" w:type="dxa"/>
            <w:tcBorders/>
            <w:shd w:fill="FFFFFF" w:val="clear"/>
            <w:vAlign w:val="center"/>
          </w:tcPr>
          <w:p>
            <w:pPr>
              <w:pStyle w:val="TableContents"/>
              <w:bidi w:val="0"/>
              <w:spacing w:before="0" w:after="283"/>
              <w:jc w:val="right"/>
              <w:rPr>
                <w:b/>
              </w:rPr>
            </w:pPr>
            <w:r>
              <w:rPr>
                <w:b/>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b/>
              </w:rPr>
            </w:pPr>
            <w:r>
              <w:rPr>
                <w:b/>
              </w:rPr>
              <w:t>$</w:t>
            </w:r>
          </w:p>
        </w:tc>
        <w:tc>
          <w:tcPr>
            <w:tcW w:w="1086" w:type="dxa"/>
            <w:tcBorders/>
            <w:shd w:fill="FFFFFF" w:val="clear"/>
            <w:vAlign w:val="center"/>
          </w:tcPr>
          <w:p>
            <w:pPr>
              <w:pStyle w:val="TableContents"/>
              <w:bidi w:val="0"/>
              <w:spacing w:before="0" w:after="283"/>
              <w:jc w:val="right"/>
              <w:rPr>
                <w:b/>
              </w:rPr>
            </w:pPr>
            <w:r>
              <w:rPr>
                <w:b/>
              </w:rPr>
              <w:t>(32</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132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(1,448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b/>
              </w:rPr>
            </w:pPr>
            <w:r>
              <w:rPr>
                <w:b/>
              </w:rPr>
              <w:t>(1,448</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1325"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5"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25" w:type="dxa"/>
            <w:tcBorders/>
            <w:shd w:fill="CCEEFF" w:val="clear"/>
            <w:vAlign w:val="center"/>
          </w:tcPr>
          <w:p>
            <w:pPr>
              <w:pStyle w:val="TableContents"/>
              <w:bidi w:val="0"/>
              <w:spacing w:before="0" w:after="283"/>
              <w:jc w:val="left"/>
              <w:rPr>
                <w:b/>
              </w:rPr>
            </w:pPr>
            <w:r>
              <w:rPr>
                <w:b/>
              </w:rPr>
              <w:t>Balance at March 31, 2025</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913"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47,500,000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b/>
              </w:rPr>
            </w:pPr>
            <w:r>
              <w:rPr>
                <w:b/>
              </w:rPr>
              <w:t>$</w:t>
            </w:r>
          </w:p>
        </w:tc>
        <w:tc>
          <w:tcPr>
            <w:tcW w:w="629" w:type="dxa"/>
            <w:tcBorders/>
            <w:shd w:fill="CCEEFF" w:val="clear"/>
            <w:vAlign w:val="center"/>
          </w:tcPr>
          <w:p>
            <w:pPr>
              <w:pStyle w:val="TableContents"/>
              <w:bidi w:val="0"/>
              <w:spacing w:before="0" w:after="283"/>
              <w:jc w:val="right"/>
              <w:rPr>
                <w:b/>
              </w:rPr>
            </w:pPr>
            <w:r>
              <w:rPr>
                <w:b/>
              </w:rPr>
              <w:t>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b/>
              </w:rPr>
            </w:pPr>
            <w:r>
              <w:rPr>
                <w:b/>
              </w:rPr>
              <w:t>$</w:t>
            </w:r>
          </w:p>
        </w:tc>
        <w:tc>
          <w:tcPr>
            <w:tcW w:w="880" w:type="dxa"/>
            <w:tcBorders/>
            <w:shd w:fill="CCEEFF" w:val="clear"/>
            <w:vAlign w:val="center"/>
          </w:tcPr>
          <w:p>
            <w:pPr>
              <w:pStyle w:val="TableContents"/>
              <w:bidi w:val="0"/>
              <w:spacing w:before="0" w:after="283"/>
              <w:jc w:val="right"/>
              <w:rPr>
                <w:b/>
              </w:rPr>
            </w:pPr>
            <w:r>
              <w:rPr>
                <w:b/>
              </w:rPr>
              <w:t>(548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b/>
              </w:rPr>
            </w:pPr>
            <w:r>
              <w:rPr>
                <w:b/>
              </w:rPr>
              <w:t>$</w:t>
            </w:r>
          </w:p>
        </w:tc>
        <w:tc>
          <w:tcPr>
            <w:tcW w:w="1123" w:type="dxa"/>
            <w:tcBorders/>
            <w:shd w:fill="CCEEFF" w:val="clear"/>
            <w:vAlign w:val="center"/>
          </w:tcPr>
          <w:p>
            <w:pPr>
              <w:pStyle w:val="TableContents"/>
              <w:bidi w:val="0"/>
              <w:spacing w:before="0" w:after="283"/>
              <w:jc w:val="right"/>
              <w:rPr>
                <w:b/>
              </w:rPr>
            </w:pPr>
            <w:r>
              <w:rPr>
                <w:b/>
              </w:rPr>
              <w:t>(1,485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475" w:type="dxa"/>
            <w:tcBorders/>
            <w:shd w:fill="CCEEFF" w:val="clear"/>
            <w:vAlign w:val="center"/>
          </w:tcPr>
          <w:p>
            <w:pPr>
              <w:pStyle w:val="TableContents"/>
              <w:bidi w:val="0"/>
              <w:spacing w:before="0" w:after="283"/>
              <w:jc w:val="right"/>
              <w:rPr>
                <w:b/>
              </w:rPr>
            </w:pPr>
            <w:r>
              <w:rPr>
                <w:b/>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b/>
              </w:rPr>
            </w:pPr>
            <w:r>
              <w:rPr>
                <w:b/>
              </w:rPr>
              <w:t>$</w:t>
            </w:r>
          </w:p>
        </w:tc>
        <w:tc>
          <w:tcPr>
            <w:tcW w:w="1086" w:type="dxa"/>
            <w:tcBorders/>
            <w:shd w:fill="CCEEFF" w:val="clear"/>
            <w:vAlign w:val="center"/>
          </w:tcPr>
          <w:p>
            <w:pPr>
              <w:pStyle w:val="TableContents"/>
              <w:bidi w:val="0"/>
              <w:spacing w:before="0" w:after="283"/>
              <w:jc w:val="right"/>
              <w:rPr>
                <w:b/>
              </w:rPr>
            </w:pPr>
            <w:r>
              <w:rPr>
                <w:b/>
              </w:rPr>
              <w:t>(1,474</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13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(1,145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b/>
              </w:rPr>
            </w:pPr>
            <w:r>
              <w:rPr>
                <w:b/>
              </w:rPr>
              <w:t>(1,145</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1325" w:type="dxa"/>
            <w:tcBorders/>
            <w:shd w:fill="CCEEFF" w:val="clear"/>
            <w:vAlign w:val="center"/>
          </w:tcPr>
          <w:p>
            <w:pPr>
              <w:pStyle w:val="TableContents"/>
              <w:bidi w:val="0"/>
              <w:spacing w:before="0" w:after="283"/>
              <w:jc w:val="left"/>
              <w:rPr/>
            </w:pPr>
            <w:r>
              <w:rPr/>
              <w:t>Issuance of warrants, net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1,077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b/>
              </w:rPr>
            </w:pPr>
            <w:r>
              <w:rPr>
                <w:b/>
              </w:rPr>
              <w:t>1,077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25"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5"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25" w:type="dxa"/>
            <w:tcBorders/>
            <w:shd w:fill="CCEEFF" w:val="clear"/>
            <w:vAlign w:val="center"/>
          </w:tcPr>
          <w:p>
            <w:pPr>
              <w:pStyle w:val="TableContents"/>
              <w:bidi w:val="0"/>
              <w:spacing w:before="0" w:after="283"/>
              <w:jc w:val="left"/>
              <w:rPr>
                <w:b/>
              </w:rPr>
            </w:pPr>
            <w:r>
              <w:rPr>
                <w:b/>
              </w:rPr>
              <w:t>Balance at June 30, 2025</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2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2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4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8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(1,531</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caps w:val="false"/>
          <w:smallCaps w:val="false"/>
          <w:sz w:val="20"/>
        </w:rPr>
        <w:t>The accompanying notes are an integral part of these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br/>
        <w:t>(formerly Terra Innovatum Global Srl.)</w:t>
        <w:br/>
        <w:t>Interim Condensed Consolidated Statements of Cash Flows</w:t>
        <w:br/>
      </w:r>
      <w:r>
        <w:rPr>
          <w:rFonts w:ascii="Times New Roman;Times;Serif" w:hAnsi="Times New Roman;Times;Serif"/>
          <w:b/>
          <w:i/>
          <w:caps w:val="false"/>
          <w:smallCaps w:val="false"/>
          <w:sz w:val="20"/>
        </w:rPr>
        <w:t>(all amounts in USD)(in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44"/>
        <w:gridCol w:w="60"/>
        <w:gridCol w:w="201"/>
        <w:gridCol w:w="1153"/>
        <w:gridCol w:w="136"/>
        <w:gridCol w:w="86"/>
        <w:gridCol w:w="201"/>
        <w:gridCol w:w="915"/>
        <w:gridCol w:w="109"/>
      </w:tblGrid>
      <w:tr>
        <w:trPr/>
        <w:tc>
          <w:tcPr>
            <w:tcW w:w="734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09" w:type="dxa"/>
            <w:tcBorders/>
            <w:vAlign w:val="center"/>
          </w:tcPr>
          <w:p>
            <w:pPr>
              <w:pStyle w:val="TableContents"/>
              <w:bidi w:val="0"/>
              <w:spacing w:before="0" w:after="283"/>
              <w:ind w:left="0" w:right="0" w:hanging="180"/>
              <w:jc w:val="left"/>
              <w:rPr/>
            </w:pPr>
            <w:r>
              <w:rPr/>
              <w:t> </w:t>
            </w:r>
          </w:p>
        </w:tc>
      </w:tr>
      <w:tr>
        <w:trPr/>
        <w:tc>
          <w:tcPr>
            <w:tcW w:w="73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9" w:type="dxa"/>
            <w:tcBorders/>
            <w:vAlign w:val="center"/>
          </w:tcPr>
          <w:p>
            <w:pPr>
              <w:pStyle w:val="TableContents"/>
              <w:bidi w:val="0"/>
              <w:spacing w:before="0" w:after="283"/>
              <w:ind w:left="0" w:right="0" w:hanging="180"/>
              <w:jc w:val="left"/>
              <w:rPr/>
            </w:pPr>
            <w:r>
              <w:rPr/>
              <w:t> </w:t>
            </w:r>
          </w:p>
        </w:tc>
      </w:tr>
      <w:tr>
        <w:trPr/>
        <w:tc>
          <w:tcPr>
            <w:tcW w:w="73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2" w:type="dxa"/>
            <w:gridSpan w:val="6"/>
            <w:tcBorders/>
            <w:vAlign w:val="center"/>
          </w:tcPr>
          <w:p>
            <w:pPr>
              <w:pStyle w:val="TableContents"/>
              <w:bidi w:val="0"/>
              <w:spacing w:before="0" w:after="283"/>
              <w:jc w:val="center"/>
              <w:rPr>
                <w:b/>
              </w:rPr>
            </w:pPr>
            <w:r>
              <w:rPr>
                <w:b/>
              </w:rPr>
              <w:t>Unaudited</w:t>
            </w:r>
          </w:p>
        </w:tc>
        <w:tc>
          <w:tcPr>
            <w:tcW w:w="109" w:type="dxa"/>
            <w:tcBorders/>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b/>
              </w:rPr>
            </w:pPr>
            <w:r>
              <w:rPr>
                <w:b/>
              </w:rPr>
              <w:t>Cash flows from operating activities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(25,150</w:t>
            </w:r>
          </w:p>
        </w:tc>
        <w:tc>
          <w:tcPr>
            <w:tcW w:w="136"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(2,593</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344" w:type="dxa"/>
            <w:tcBorders/>
            <w:shd w:fill="FFFFFF" w:val="clear"/>
            <w:vAlign w:val="center"/>
          </w:tcPr>
          <w:p>
            <w:pPr>
              <w:pStyle w:val="TableContents"/>
              <w:bidi w:val="0"/>
              <w:spacing w:before="0" w:after="283"/>
              <w:jc w:val="left"/>
              <w:rPr/>
            </w:pPr>
            <w:r>
              <w:rPr/>
              <w:t>Adjustments to reconcile net loss to net 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Unrealized foreign exchange (gain) loss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(872</w:t>
            </w:r>
          </w:p>
        </w:tc>
        <w:tc>
          <w:tcPr>
            <w:tcW w:w="136"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65</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580</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(1,260</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344" w:type="dxa"/>
            <w:tcBorders/>
            <w:shd w:fill="CCEEFF" w:val="clear"/>
            <w:vAlign w:val="center"/>
          </w:tcPr>
          <w:p>
            <w:pPr>
              <w:pStyle w:val="TableContents"/>
              <w:bidi w:val="0"/>
              <w:spacing w:before="0" w:after="283"/>
              <w:jc w:val="left"/>
              <w:rPr/>
            </w:pPr>
            <w:r>
              <w:rPr/>
              <w:t>Change in fair value of share-settled contingent liability</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15,827</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Interest expense - non-cash</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116</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14</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(3,638</w:t>
            </w:r>
          </w:p>
        </w:tc>
        <w:tc>
          <w:tcPr>
            <w:tcW w:w="136"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(292</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344"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5</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2,036</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2,054</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2,395</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536</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(8,778</w:t>
            </w:r>
          </w:p>
        </w:tc>
        <w:tc>
          <w:tcPr>
            <w:tcW w:w="136" w:type="dxa"/>
            <w:tcBorders/>
            <w:shd w:fill="FFFFFF" w:val="clear"/>
            <w:vAlign w:val="center"/>
          </w:tcPr>
          <w:p>
            <w:pPr>
              <w:pStyle w:val="TableContents"/>
              <w:bidi w:val="0"/>
              <w:spacing w:before="0" w:after="283"/>
              <w:jc w:val="left"/>
              <w:rPr>
                <w:b/>
              </w:rPr>
            </w:pPr>
            <w:r>
              <w:rPr>
                <w:b/>
              </w:rPr>
              <w:t>)</w:t>
            </w:r>
          </w:p>
        </w:tc>
        <w:tc>
          <w:tcPr>
            <w:tcW w:w="86"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(1,371</w:t>
            </w:r>
          </w:p>
        </w:tc>
        <w:tc>
          <w:tcPr>
            <w:tcW w:w="109" w:type="dxa"/>
            <w:tcBorders/>
            <w:shd w:fill="FFFFFF" w:val="clear"/>
            <w:vAlign w:val="center"/>
          </w:tcPr>
          <w:p>
            <w:pPr>
              <w:pStyle w:val="TableContents"/>
              <w:bidi w:val="0"/>
              <w:spacing w:before="0" w:after="283"/>
              <w:ind w:left="0" w:right="0" w:hanging="180"/>
              <w:jc w:val="left"/>
              <w:rPr>
                <w:b/>
              </w:rPr>
            </w:pPr>
            <w:r>
              <w:rPr>
                <w:b/>
              </w:rPr>
              <w:t>)</w:t>
            </w:r>
          </w:p>
        </w:tc>
      </w:tr>
      <w:tr>
        <w:trPr/>
        <w:tc>
          <w:tcPr>
            <w:tcW w:w="7344"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Purchases of equipment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FFFFFF" w:val="clear"/>
            <w:tcMar>
              <w:bottom w:w="28" w:type="dxa"/>
            </w:tcMar>
            <w:vAlign w:val="center"/>
          </w:tcPr>
          <w:p>
            <w:pPr>
              <w:pStyle w:val="TableContents"/>
              <w:bidi w:val="0"/>
              <w:spacing w:before="0" w:after="283"/>
              <w:jc w:val="right"/>
              <w:rPr/>
            </w:pPr>
            <w:r>
              <w:rPr/>
              <w:t>(378</w:t>
            </w:r>
          </w:p>
        </w:tc>
        <w:tc>
          <w:tcPr>
            <w:tcW w:w="136" w:type="dxa"/>
            <w:tcBorders/>
            <w:shd w:fill="FFFFFF" w:val="clear"/>
            <w:vAlign w:val="center"/>
          </w:tcPr>
          <w:p>
            <w:pPr>
              <w:pStyle w:val="TableContents"/>
              <w:bidi w:val="0"/>
              <w:spacing w:before="0" w:after="283"/>
              <w:jc w:val="left"/>
              <w:rPr/>
            </w:pPr>
            <w:r>
              <w:rPr/>
              <w:t>)</w:t>
            </w:r>
          </w:p>
        </w:tc>
        <w:tc>
          <w:tcPr>
            <w:tcW w:w="86"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(378</w:t>
            </w:r>
          </w:p>
        </w:tc>
        <w:tc>
          <w:tcPr>
            <w:tcW w:w="136" w:type="dxa"/>
            <w:tcBorders/>
            <w:shd w:fill="CCEEFF" w:val="clear"/>
            <w:vAlign w:val="center"/>
          </w:tcPr>
          <w:p>
            <w:pPr>
              <w:pStyle w:val="TableContents"/>
              <w:bidi w:val="0"/>
              <w:spacing w:before="0" w:after="283"/>
              <w:jc w:val="left"/>
              <w:rPr>
                <w:b/>
              </w:rPr>
            </w:pPr>
            <w:r>
              <w:rPr>
                <w:b/>
              </w:rPr>
              <w:t>)</w:t>
            </w:r>
          </w:p>
        </w:tc>
        <w:tc>
          <w:tcPr>
            <w:tcW w:w="86"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Proceeds from bridge loans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4,803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Payment of debt issuance costs for Bridge Loans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(20</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344" w:type="dxa"/>
            <w:tcBorders/>
            <w:shd w:fill="CCEEFF" w:val="clear"/>
            <w:vAlign w:val="center"/>
          </w:tcPr>
          <w:p>
            <w:pPr>
              <w:pStyle w:val="TableContents"/>
              <w:bidi w:val="0"/>
              <w:spacing w:before="0" w:after="283"/>
              <w:jc w:val="left"/>
              <w:rPr/>
            </w:pPr>
            <w:r>
              <w:rPr/>
              <w:t>Capital contributions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11</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Proceeds from related party loans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FFFFFF" w:val="clear"/>
            <w:tcMar>
              <w:bottom w:w="28" w:type="dxa"/>
            </w:tcMar>
            <w:vAlign w:val="center"/>
          </w:tcPr>
          <w:p>
            <w:pPr>
              <w:pStyle w:val="TableContents"/>
              <w:bidi w:val="0"/>
              <w:spacing w:before="0" w:after="283"/>
              <w:jc w:val="right"/>
              <w:rPr/>
            </w:pPr>
            <w:r>
              <w:rPr/>
              <w:t>190</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4,984</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b/>
              </w:rPr>
            </w:pPr>
            <w:r>
              <w:rPr>
                <w:b/>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(2,671</w:t>
            </w:r>
          </w:p>
        </w:tc>
        <w:tc>
          <w:tcPr>
            <w:tcW w:w="136" w:type="dxa"/>
            <w:tcBorders/>
            <w:shd w:fill="FFFFFF" w:val="clear"/>
            <w:vAlign w:val="center"/>
          </w:tcPr>
          <w:p>
            <w:pPr>
              <w:pStyle w:val="TableContents"/>
              <w:bidi w:val="0"/>
              <w:spacing w:before="0" w:after="283"/>
              <w:jc w:val="left"/>
              <w:rPr/>
            </w:pPr>
            <w:r>
              <w:rPr/>
              <w:t>)</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291</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b/>
              </w:rPr>
            </w:pPr>
            <w:r>
              <w:rPr>
                <w:b/>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(9,156</w:t>
            </w:r>
          </w:p>
        </w:tc>
        <w:tc>
          <w:tcPr>
            <w:tcW w:w="136"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3,613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b/>
              </w:rPr>
            </w:pPr>
            <w:r>
              <w:rPr>
                <w:b/>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FFFFFF" w:val="clear"/>
            <w:tcMar>
              <w:bottom w:w="28" w:type="dxa"/>
            </w:tcMar>
            <w:vAlign w:val="center"/>
          </w:tcPr>
          <w:p>
            <w:pPr>
              <w:pStyle w:val="TableContents"/>
              <w:bidi w:val="0"/>
              <w:spacing w:before="0" w:after="283"/>
              <w:jc w:val="right"/>
              <w:rPr/>
            </w:pPr>
            <w:r>
              <w:rPr/>
              <w:t>102,882</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FFFFFF" w:val="clear"/>
            <w:tcMar>
              <w:bottom w:w="28" w:type="dxa"/>
            </w:tcMar>
            <w:vAlign w:val="center"/>
          </w:tcPr>
          <w:p>
            <w:pPr>
              <w:pStyle w:val="TableContents"/>
              <w:bidi w:val="0"/>
              <w:spacing w:before="0" w:after="283"/>
              <w:jc w:val="right"/>
              <w:rPr/>
            </w:pPr>
            <w:r>
              <w:rPr/>
              <w:t>69</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b/>
              </w:rPr>
            </w:pPr>
            <w:r>
              <w:rPr>
                <w:b/>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5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91,055</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3,973</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Cash paid for amounts included in the measurement of operating lease liabilities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22</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b/>
              </w:rPr>
            </w:pPr>
            <w:r>
              <w:rPr>
                <w:b/>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Operating lease right-of-use assets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396</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Unpaid deferred transaction costs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153" w:type="dxa"/>
            <w:tcBorders/>
            <w:shd w:fill="FFFFFF" w:val="cle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915" w:type="dxa"/>
            <w:tcBorders/>
            <w:shd w:fill="FFFFFF" w:val="clear"/>
            <w:vAlign w:val="center"/>
          </w:tcPr>
          <w:p>
            <w:pPr>
              <w:pStyle w:val="TableContents"/>
              <w:bidi w:val="0"/>
              <w:spacing w:before="0" w:after="283"/>
              <w:jc w:val="right"/>
              <w:rPr/>
            </w:pPr>
            <w:r>
              <w:rPr/>
              <w:t>550</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Reclassification of liability-classified to equity-classified warrants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189</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Fair value of warrant liability</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153" w:type="dxa"/>
            <w:tcBorders/>
            <w:shd w:fill="FFFFFF" w:val="cle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915" w:type="dxa"/>
            <w:tcBorders/>
            <w:shd w:fill="FFFFFF" w:val="clear"/>
            <w:vAlign w:val="center"/>
          </w:tcPr>
          <w:p>
            <w:pPr>
              <w:pStyle w:val="TableContents"/>
              <w:bidi w:val="0"/>
              <w:spacing w:before="0" w:after="283"/>
              <w:jc w:val="right"/>
              <w:rPr/>
            </w:pPr>
            <w:r>
              <w:rPr/>
              <w:t>1,452</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344" w:type="dxa"/>
            <w:tcBorders/>
            <w:shd w:fill="CCEEFF" w:val="clear"/>
            <w:vAlign w:val="center"/>
          </w:tcPr>
          <w:p>
            <w:pPr>
              <w:pStyle w:val="TableContents"/>
              <w:bidi w:val="0"/>
              <w:spacing w:before="0" w:after="283"/>
              <w:jc w:val="left"/>
              <w:rPr/>
            </w:pPr>
            <w:r>
              <w:rPr/>
              <w:t>Issuance costs allocated to Bridge Loans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w:t>
            </w:r>
          </w:p>
        </w:tc>
        <w:tc>
          <w:tcPr>
            <w:tcW w:w="13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8</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344" w:type="dxa"/>
            <w:tcBorders/>
            <w:shd w:fill="FFFFFF" w:val="clear"/>
            <w:vAlign w:val="center"/>
          </w:tcPr>
          <w:p>
            <w:pPr>
              <w:pStyle w:val="TableContents"/>
              <w:bidi w:val="0"/>
              <w:spacing w:before="0" w:after="283"/>
              <w:jc w:val="left"/>
              <w:rPr/>
            </w:pPr>
            <w:r>
              <w:rPr/>
              <w:t>Equity classified warrants in conjunction with Bridge Loans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153" w:type="dxa"/>
            <w:tcBorders/>
            <w:shd w:fill="FFFFFF" w:val="cle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915" w:type="dxa"/>
            <w:tcBorders/>
            <w:shd w:fill="FFFFFF" w:val="clear"/>
            <w:vAlign w:val="center"/>
          </w:tcPr>
          <w:p>
            <w:pPr>
              <w:pStyle w:val="TableContents"/>
              <w:bidi w:val="0"/>
              <w:spacing w:before="0" w:after="283"/>
              <w:jc w:val="right"/>
              <w:rPr/>
            </w:pPr>
            <w:r>
              <w:rPr/>
              <w:t>954</w:t>
            </w:r>
          </w:p>
        </w:tc>
        <w:tc>
          <w:tcPr>
            <w:tcW w:w="10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br/>
        <w:t>(formerly Terra Innovatum Global Srl.)</w:t>
        <w:br/>
        <w:t>Notes to the Interim Condensed Consolidated Financial Statements</w:t>
        <w:b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Terra Innovatum Global N.V.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Terra”)</w:t>
      </w:r>
      <w:r>
        <w:rPr>
          <w:rFonts w:ascii="Times New Roman;Times;Serif" w:hAnsi="Times New Roman;Times;Serif"/>
          <w:b w:val="false"/>
          <w:i w:val="false"/>
          <w:caps w:val="false"/>
          <w:smallCaps w:val="false"/>
          <w:sz w:val="20"/>
        </w:rPr>
        <w:t xml:space="preserve"> is a Dutch public limited liability company (naamloze vennootschap) organized under the laws of the Netherlands. The Company is registered in the Netherlands, and its legal headquarters is in Lucca, Italy, San Marco district at Via Matteo Trenta No. 117.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2025, the Company consummated a business combination with GSR III Acquisition Corp. (“</w:t>
      </w:r>
      <w:r>
        <w:rPr>
          <w:rFonts w:ascii="Times New Roman;Times;Serif" w:hAnsi="Times New Roman;Times;Serif"/>
          <w:b/>
          <w:i w:val="false"/>
          <w:caps w:val="false"/>
          <w:smallCaps w:val="false"/>
          <w:sz w:val="20"/>
        </w:rPr>
        <w:t>GSR III</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pursuant to a Business Combination Agreement dated April 21, 2025, as amended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which was accounted for as a recapitalization. Additional details are included in the Company’s Annual Report on Form 10-K for the year ended December 31, 2025. As a result of the Business Combination, the Company became a publicly traded parent company of the combined organization. The Company’s ordinary shares commenced trading on The Nasdaq Stock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“NKLR” on October 10,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Business Combination, Terra Innovatum Srl. (“</w:t>
      </w:r>
      <w:r>
        <w:rPr>
          <w:rFonts w:ascii="Times New Roman;Times;Serif" w:hAnsi="Times New Roman;Times;Serif"/>
          <w:b/>
          <w:i w:val="false"/>
          <w:caps w:val="false"/>
          <w:smallCaps w:val="false"/>
          <w:sz w:val="20"/>
        </w:rPr>
        <w:t>Legacy Terra</w:t>
      </w:r>
      <w:r>
        <w:rPr>
          <w:rFonts w:ascii="Times New Roman;Times;Serif" w:hAnsi="Times New Roman;Times;Serif"/>
          <w:b w:val="false"/>
          <w:i w:val="false"/>
          <w:caps w:val="false"/>
          <w:smallCaps w:val="false"/>
          <w:sz w:val="20"/>
        </w:rPr>
        <w:t>”), the private operating company prior to the Business Combination, continues to operate as a wholly owned subsidiary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developing a micro-modular nuclear reactor known as the SOLO</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Micro-Modular Nuclear Reactor (“</w:t>
      </w:r>
      <w:r>
        <w:rPr>
          <w:rFonts w:ascii="Times New Roman;Times;Serif" w:hAnsi="Times New Roman;Times;Serif"/>
          <w:b/>
          <w:i w:val="false"/>
          <w:caps w:val="false"/>
          <w:smallCaps w:val="false"/>
          <w:sz w:val="20"/>
        </w:rPr>
        <w:t>SOLO</w:t>
      </w:r>
      <w:r>
        <w:rPr>
          <w:rFonts w:ascii="Times New Roman;Times;Serif" w:hAnsi="Times New Roman;Times;Serif"/>
          <w:b w:val="false"/>
          <w:i w:val="false"/>
          <w:caps w:val="false"/>
          <w:smallCaps w:val="false"/>
          <w:sz w:val="20"/>
        </w:rPr>
        <w:t>”). The Company’s activities are currently centered on engineering design, technology validation, regulatory engagement, and supply chain planning related to the SOLO reactor. The SOLO reactor is designed to generate approximately 1 megawatt electric (“</w:t>
      </w:r>
      <w:r>
        <w:rPr>
          <w:rFonts w:ascii="Times New Roman;Times;Serif" w:hAnsi="Times New Roman;Times;Serif"/>
          <w:b/>
          <w:i w:val="false"/>
          <w:caps w:val="false"/>
          <w:smallCaps w:val="false"/>
          <w:sz w:val="20"/>
        </w:rPr>
        <w:t>MWe</w:t>
      </w:r>
      <w:r>
        <w:rPr>
          <w:rFonts w:ascii="Times New Roman;Times;Serif" w:hAnsi="Times New Roman;Times;Serif"/>
          <w:b w:val="false"/>
          <w:i w:val="false"/>
          <w:caps w:val="false"/>
          <w:smallCaps w:val="false"/>
          <w:sz w:val="20"/>
        </w:rPr>
        <w:t>”) of baseload power through a gas-cooled system utilizing commercially available low enriched uranium (“</w:t>
      </w:r>
      <w:r>
        <w:rPr>
          <w:rFonts w:ascii="Times New Roman;Times;Serif" w:hAnsi="Times New Roman;Times;Serif"/>
          <w:b/>
          <w:i w:val="false"/>
          <w:caps w:val="false"/>
          <w:smallCaps w:val="false"/>
          <w:sz w:val="20"/>
        </w:rPr>
        <w:t>LEU</w:t>
      </w:r>
      <w:r>
        <w:rPr>
          <w:rFonts w:ascii="Times New Roman;Times;Serif" w:hAnsi="Times New Roman;Times;Serif"/>
          <w:b w:val="false"/>
          <w:i w:val="false"/>
          <w:caps w:val="false"/>
          <w:smallCaps w:val="false"/>
          <w:sz w:val="20"/>
        </w:rPr>
        <w:t>”). The reactor design contemplates extended operating cycles, including refueling capabilities, subject to regulatory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has completed the conceptual and detailed design phases of SOLO and has validated certain key technological components. The Company has initiated pre-application engagement with the U.S. Nuclear Regulatory Commission (“</w:t>
      </w:r>
      <w:r>
        <w:rPr>
          <w:rFonts w:ascii="Times New Roman;Times;Serif" w:hAnsi="Times New Roman;Times;Serif"/>
          <w:b/>
          <w:i w:val="false"/>
          <w:caps w:val="false"/>
          <w:smallCaps w:val="false"/>
          <w:sz w:val="20"/>
        </w:rPr>
        <w:t>NRC</w:t>
      </w:r>
      <w:r>
        <w:rPr>
          <w:rFonts w:ascii="Times New Roman;Times;Serif" w:hAnsi="Times New Roman;Times;Serif"/>
          <w:b w:val="false"/>
          <w:i w:val="false"/>
          <w:caps w:val="false"/>
          <w:smallCaps w:val="false"/>
          <w:sz w:val="20"/>
        </w:rPr>
        <w:t>”) and is progressing through regulatory and licensing activities required for future construction and operation. The Company has not yet constructed a commercial reactor and has not generated revenue from operations. All activities to date relate to research and development and preparation for potential future commercialization.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early-stage nuclear energy technology company and has not generated revenue from its principal operations. The Company’s activities remain focused on research and development, regulatory engagement, and preparation for future commercialization of its SOLO reactor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is subject to risks and uncertainties common to early-stage development enterprises, including the ability to obtain required regulatory approvals, successfully advance its technology through the licensing process, and continue to access capital to fund operations and future commercialization efforts. The regulatory approval process for nuclear technologies is complex, time-consuming, and subject to factors beyond the Company’s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will require substantial additional capital to complete development and achieve commercialization, and there can be no assurance that such financing will be available on acceptable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Principles of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have been prepared in accordance with U.S. generally accepted accounting principles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and applicable rules and regulations of the U.S.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regarding interim financial reporting. Any reference in these notes to applicable guidance is meant to refer to U.S. GAAP, as found in the account standards codification (“</w:t>
      </w:r>
      <w:r>
        <w:rPr>
          <w:rFonts w:ascii="Times New Roman;Times;Serif" w:hAnsi="Times New Roman;Times;Serif"/>
          <w:b/>
          <w:i w:val="false"/>
          <w:caps w:val="false"/>
          <w:smallCaps w:val="false"/>
          <w:sz w:val="20"/>
        </w:rPr>
        <w:t>ASC</w:t>
      </w:r>
      <w:r>
        <w:rPr>
          <w:rFonts w:ascii="Times New Roman;Times;Serif" w:hAnsi="Times New Roman;Times;Serif"/>
          <w:b w:val="false"/>
          <w:i w:val="false"/>
          <w:caps w:val="false"/>
          <w:smallCaps w:val="false"/>
          <w:sz w:val="20"/>
        </w:rPr>
        <w:t>”) and Accounting Standards Updates (“</w:t>
      </w:r>
      <w:r>
        <w:rPr>
          <w:rFonts w:ascii="Times New Roman;Times;Serif" w:hAnsi="Times New Roman;Times;Serif"/>
          <w:b/>
          <w:i w:val="false"/>
          <w:caps w:val="false"/>
          <w:smallCaps w:val="false"/>
          <w:sz w:val="20"/>
        </w:rPr>
        <w:t>ASUs</w:t>
      </w:r>
      <w:r>
        <w:rPr>
          <w:rFonts w:ascii="Times New Roman;Times;Serif" w:hAnsi="Times New Roman;Times;Serif"/>
          <w:b w:val="false"/>
          <w:i w:val="false"/>
          <w:caps w:val="false"/>
          <w:smallCaps w:val="false"/>
          <w:sz w:val="20"/>
        </w:rPr>
        <w:t>”) of the Financial Accounting Standards Board (“</w:t>
      </w:r>
      <w:r>
        <w:rPr>
          <w:rFonts w:ascii="Times New Roman;Times;Serif" w:hAnsi="Times New Roman;Times;Serif"/>
          <w:b/>
          <w:i w:val="false"/>
          <w:caps w:val="false"/>
          <w:smallCaps w:val="false"/>
          <w:sz w:val="20"/>
        </w:rPr>
        <w:t>FASB</w:t>
      </w:r>
      <w:r>
        <w:rPr>
          <w:rFonts w:ascii="Times New Roman;Times;Serif" w:hAnsi="Times New Roman;Times;Serif"/>
          <w:b w:val="false"/>
          <w:i w:val="false"/>
          <w:caps w:val="false"/>
          <w:smallCaps w:val="false"/>
          <w:sz w:val="20"/>
        </w:rPr>
        <w:t>”). The interim condensed consolidated financial statements include the financial statements of Terra Innovatum Global N.V. and its subsidiaries. All intercompany balances and transactions have been eliminated. The interim condensed consolidated financial statements have been prepared on a going concern basis based on the Company’s cash and cash equivalents of $91,055 as of June 30, 2026 and the Company’s budgeted cash flows for the twelve months following the issuance date of August 14,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condensed consolidated financial statements as of June 30, 2026 and for the three and six months ended June 30, 2026 and 2025, in the opinion of management, include all adjustments, consisting of normal recurring items, to present fairly the Company’s financial position, results of operations, and cash flows. The Company’s operating results for the three and six months ended June 30, 2026 are not necessarily indicative of the results to be expected for the full year. The interim condensed consolidated financial statements and related notes as of and for the three and six months ended June 30, 2026 have been prepared on the same basis as and should be read in conjunction with the audited consolidated financial statements for the year ended December 31, 2025. Certain information and footnote disclosures normally included in financial statements prepared in accordance with U.S. GAAP have been condensed or omitted pursuant to the rules of the SEC. The Company believes the disclosures made are adequate to keep the information presented from being misleading.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with the quarterly report on Form 10-Q for the three and nine months ended September 30, 2025, we have elected to present all dollar amounts rounded to the nearest thousand dollars.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Legacy Terra completed a series of restructuring transactions (the “</w:t>
      </w:r>
      <w:r>
        <w:rPr>
          <w:rFonts w:ascii="Times New Roman;Times;Serif" w:hAnsi="Times New Roman;Times;Serif"/>
          <w:b/>
          <w:i w:val="false"/>
          <w:caps w:val="false"/>
          <w:smallCaps w:val="false"/>
          <w:sz w:val="20"/>
        </w:rPr>
        <w:t>Terra Pre-Closing Reorganization</w:t>
      </w:r>
      <w:r>
        <w:rPr>
          <w:rFonts w:ascii="Times New Roman;Times;Serif" w:hAnsi="Times New Roman;Times;Serif"/>
          <w:b w:val="false"/>
          <w:i w:val="false"/>
          <w:caps w:val="false"/>
          <w:smallCaps w:val="false"/>
          <w:sz w:val="20"/>
        </w:rPr>
        <w:t>”) to establish a holding company structure. The Terra Pre-Closing Reorganization was accounted for as a transaction between entities under common control in accordance with ASC 805-50. Accordingly, assets and liabilities were recorded at historical carrying amounts, and no goodwill, gain, or loss was recognized. As the reorganization resulted in a change in the reporting entity, the interim condensed consolidated financial statements have been retrospectively adjusted to include the historical financial results of Legacy Terra, the Company’s predecessor, for all periods presented, as if the current corporate structure had been in effect since the earliest period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condensed consolidated financial statements of the Company are presented in U.S. dollars and include the accounts of the Company and its wholly owned subsidiaries. All intercompany balances and transactions have been eliminated in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whether to consolidate an entity based on whether it has a controlling financial interest under ASC Topic 810, </w:t>
      </w:r>
      <w:r>
        <w:rPr>
          <w:rFonts w:ascii="Times New Roman;Times;Serif" w:hAnsi="Times New Roman;Times;Serif"/>
          <w:b w:val="false"/>
          <w:i/>
          <w:caps w:val="false"/>
          <w:smallCaps w:val="false"/>
          <w:sz w:val="20"/>
        </w:rPr>
        <w:t>Consolidation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ASC 810</w:t>
      </w:r>
      <w:r>
        <w:rPr>
          <w:rFonts w:ascii="Times New Roman;Times;Serif" w:hAnsi="Times New Roman;Times;Serif"/>
          <w:b w:val="false"/>
          <w:i w:val="false"/>
          <w:caps w:val="false"/>
          <w:smallCaps w:val="false"/>
          <w:sz w:val="20"/>
        </w:rPr>
        <w:t>”). A controlling financial interest may be established through either (i) the variable interest entity (“</w:t>
      </w:r>
      <w:r>
        <w:rPr>
          <w:rFonts w:ascii="Times New Roman;Times;Serif" w:hAnsi="Times New Roman;Times;Serif"/>
          <w:b/>
          <w:i w:val="false"/>
          <w:caps w:val="false"/>
          <w:smallCaps w:val="false"/>
          <w:sz w:val="20"/>
        </w:rPr>
        <w:t>VIE</w:t>
      </w:r>
      <w:r>
        <w:rPr>
          <w:rFonts w:ascii="Times New Roman;Times;Serif" w:hAnsi="Times New Roman;Times;Serif"/>
          <w:b w:val="false"/>
          <w:i w:val="false"/>
          <w:caps w:val="false"/>
          <w:smallCaps w:val="false"/>
          <w:sz w:val="20"/>
        </w:rPr>
        <w:t>”) model or (ii) the voting interest model (“</w:t>
      </w:r>
      <w:r>
        <w:rPr>
          <w:rFonts w:ascii="Times New Roman;Times;Serif" w:hAnsi="Times New Roman;Times;Serif"/>
          <w:b/>
          <w:i w:val="false"/>
          <w:caps w:val="false"/>
          <w:smallCaps w:val="false"/>
          <w:sz w:val="20"/>
        </w:rPr>
        <w:t>VOE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VIE model, an entity is considered a VIE if, among other factors, (i) the equity investment at risk is not sufficient to permit the entity to finance its activities without additional subordinated financial support, (ii) the equity holders lack the characteristics of a controlling financial interest, or (iii) voting rights are not substantive. The Company consolidates a VIE if it is the primary beneficiary, defined as the party that both (i) has the power to direct the activities that most significantly impact the entity’s economic performance and (ii) has the obligation to absorb losses or the right to receive benefits that could potentially be significant.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does not meet the definition of a VIE, the Company evaluates consolidation under the voting interest model. Under this model, the Company consolidates entities in which it has a controlling financial interest, generally evidenced by ownership of a majority of the voting interests. The Company has evaluated its legal entities under ASC 810-10-15-14 and determined that none meet the definition of a VIE. Accordingly, all such entities are considered VOEs, and the Company applies the voting interest model and consolidates its subsidiaries based on its controlling financial interest, which is evidenced by 100% ownership of the voting interests.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 and Transaction Gains and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reporting currency is the United States Dollar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while its functional currency is the Euro (“€”), which it uses for conducting business and maintaining its books and records. The accompanying interim condensed consolidated financial statements are presented in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assets and liabilities denominated in foreign currencies are remeasured at period-end exchange rates, and resulting foreign exchange gains and losses are recognized in earnings. For such monetary assets and liabilities that are measured at fair value, the Company has elected to present foreign exchange gains and losses arising from remeasurement within the same line item as the change in fair value of the underlying instruments in the interim condensed consolidated statements of operations, as such amounts are considered an integral component of the overall fair value measurement. For other monetary assets and liabilities not measured at fair value, foreign exchange gains and losses are presented within other income (expense) in the interim condensed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830-30, </w:t>
      </w:r>
      <w:r>
        <w:rPr>
          <w:rFonts w:ascii="Times New Roman;Times;Serif" w:hAnsi="Times New Roman;Times;Serif"/>
          <w:b w:val="false"/>
          <w:i/>
          <w:caps w:val="false"/>
          <w:smallCaps w:val="false"/>
          <w:sz w:val="20"/>
        </w:rPr>
        <w:t>Translation of Financial Statements</w:t>
      </w:r>
      <w:r>
        <w:rPr>
          <w:rFonts w:ascii="Times New Roman;Times;Serif" w:hAnsi="Times New Roman;Times;Serif"/>
          <w:b w:val="false"/>
          <w:i w:val="false"/>
          <w:caps w:val="false"/>
          <w:smallCaps w:val="false"/>
          <w:sz w:val="20"/>
        </w:rPr>
        <w:t>, the Company and its subsidiary, Legacy Terra, translates its assets and liabilities from its functional currency into US$ using the exchange rate at the balance sheet date. Revenues and expenses are translated at the average exchange rate for the reporting period. Translation gains and losses are recorded as a separate component of accumulated other comprehensive income (“</w:t>
      </w:r>
      <w:r>
        <w:rPr>
          <w:rFonts w:ascii="Times New Roman;Times;Serif" w:hAnsi="Times New Roman;Times;Serif"/>
          <w:b/>
          <w:i w:val="false"/>
          <w:caps w:val="false"/>
          <w:smallCaps w:val="false"/>
          <w:sz w:val="20"/>
        </w:rPr>
        <w:t>AOCI</w:t>
      </w:r>
      <w:r>
        <w:rPr>
          <w:rFonts w:ascii="Times New Roman;Times;Serif" w:hAnsi="Times New Roman;Times;Serif"/>
          <w:b w:val="false"/>
          <w:i w:val="false"/>
          <w:caps w:val="false"/>
          <w:smallCaps w:val="false"/>
          <w:sz w:val="20"/>
        </w:rPr>
        <w:t>”) within the interim condensed consolidated statements of changes in shareholders’ deficit.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are translated at average exchange rates for the reporting period. As a result, the amounts presented in the interim condensed consolidated statements of cash flows may not directly reconcile with the corresponding changes in balances reported on the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net foreign currency transaction gains recognized in the interim condensed consolidated statements of operations and comprehensive income, primarily from remeasurement of monetary assets and liabilities denominated in currencies other than the functional currency, totaled approximately $646 and $2,815 respectively, and are included in other income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and Derivative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warrants and other equity-linked financial instruments, including contingently issuable warrants, under ASC 815-40, </w:t>
      </w:r>
      <w:r>
        <w:rPr>
          <w:rFonts w:ascii="Times New Roman;Times;Serif" w:hAnsi="Times New Roman;Times;Serif"/>
          <w:b w:val="false"/>
          <w:i/>
          <w:caps w:val="false"/>
          <w:smallCaps w:val="false"/>
          <w:sz w:val="20"/>
        </w:rPr>
        <w:t>Derivatives and Hedging—Contracts in an Entity’s Own Equity</w:t>
      </w:r>
      <w:r>
        <w:rPr>
          <w:rFonts w:ascii="Times New Roman;Times;Serif" w:hAnsi="Times New Roman;Times;Serif"/>
          <w:b w:val="false"/>
          <w:i w:val="false"/>
          <w:caps w:val="false"/>
          <w:smallCaps w:val="false"/>
          <w:sz w:val="20"/>
        </w:rPr>
        <w:t xml:space="preserve">, and ASC 480-10,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to determine appropriate classification and subsequent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5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Instruments that meet the conditions for equity classification under ASC 815-40 (including being indexed to the Company’s own stock and requiring physical or net share settlement with no provisions that could require cash settlement outside the Company’s control) are classified in equity at issuance and are not subsequently remeasured.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Instruments that do not meet the equity-classification conditions under ASC 815-40 or that otherwise meet liability-classification criteria under ASC 480-10 are classified as liabilities. Such instruments are initially measured at fair value and subsequently remeasured at each reporting date, with changes in fair value recognized in earnings.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815-40, equity-linked instruments that are contingently issuable, exercisable, or settleable are considered issued for accounting purposes when an enforceable contract or arrangement exists, regardless of whether the contingencies have been resolved. Accordingly, contingently issuable warrants entered into prior to the consummation of a business combination (including warrants issuable upon the completion of a de-SPAC transaction) are recognized prior to the de-SPAC, provided that the counterparty has delivered consideration or performed under the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Contingently issuable warrants are evaluated at inception to determine whether they qualify for equity classification or represent liability-classified equity-linked instruments prior to resolution of the contingency. Liability-classified contingent warrants are initially measured at fair value on the issuance date and subsequently remeasured at fair value at each reporting date, with changes in fair value recognized in earnings, until the contingency is resolved or equity classification becomes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resolution of a contingency for instruments that qualify for equity classification, any previously liability-classified warrants are reclassified to equity at their fair value on the resolution date and are not remeasured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evaluates whether warrants or other equity-linked instruments contain foreign-currency-denominated exercise prices or other cross-currency features. Instruments that are not indexed to the Company’s functional currency, as determined under ASC 815-40, are classified as liabilities and measured at fair value, with changes recognized in earnings.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Share-settled Contingent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arrangements that require settlement through the issuance of its ordinary shares upon the occurrence of specified contingent events. The Company evaluates such arrangements to determine the appropriate classification as either a liability or equity in accordance with ASC 480-10, Distinguishing Liabilities from Equity, and ASC 815-40, Contracts in Entity’s Own Equity. An obligation is classified as a liability when the arrangement requires settlement for a fixed or determinable monetary amount through the issuance of a variable number of shares or otherwise does not meet the criteria for equity classification.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Share-settled contingent liabilities are initially recorded at fair value and subsequently remeasured at fair value at each reporting date, with changes in fair value, including the effect of foreign exchange translation, recognized in change in fair value – share settled contingent liability in the interim condensed consolidated statements of operations and comprehensive income. The liability is derecognized upon settlement or extinguishment of the underlying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fair value requires management judgment and the use of significant estimates, including assumptions regarding the expected term of the contingent obligation (i.e., the estimated period until the contingency is resolved or the award settles), the Company’s stock-price volatility over that expected term, the probability of achieving any relevant performance or market conditions, and appropriate discount rates. Expected term is based on the contractual term of the arrangement, adjusted as necessary for management’s expectations about the timing of settlement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 that contain settlement features not solely indexed to the Company’s own stock, or that may require issuing a variable number of ordinary shares, are classified as liabilities and remeasured at fair value each period. Preferred shares that require or permit settlement solely in equity instruments and meet equity classification criteria are recorded in permanent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9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related parties are measured at the exchange amount, which is the amount established and agreed to by the related parties. The Company discloses material related-party transactions, including loans, engineering agreements, leases, and service arrangements. Related-party transactions are reviewed by management for reasonableness; however, such transactions may not be conducted at terms equivalent to those that prevail in arm’s-length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domiciled in the Netherlands. However, it is subject to taxation under Italian tax laws. The Company is not currently subject to U.S. federal or state income taxes on its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income taxes under the asset and liability method 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Under this method, deferred tax assets and liabilities are recognized for the estimated future tax consequences attributable to differences between financial statement carrying amounts of existing assets and liabilities and their respective tax bases. Deferred tax assets and liabilities are measured using enacted rates in effect for the year in which these temporary differences are expected to be recovered or settled. Valuation allowances are provided if, based on the weight of available evidence, it is more likely than not that some or all of the deferred tax assets will not be realized. Management believes that it is more likely than not that all deferred tax assets will not be realized.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liabilities for potential tax payments to various tax authorities related to uncertain tax positions. The liabilities are based on a determination of whether and how much of a tax benefit taken by the Company in its tax filing is more likely than not to be realized following resolution of any potential contingencies present related to the tax benefit. Potential interest and penalties associated with such uncertain tax positions, if any, are recorded as components of income tax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its income tax positions and records tax benefits for all years subject to examination based upon management’s evaluation of the facts, circumstances and information available as of the reporting date. For those tax positions where it is more likely than not that a tax benefit will be sustained, the Company records the largest amount of tax benefit with a greater than 50 percent likelihood of being realized upon ultimate settlement with a taxing authority having full knowledge of all relevant information. For those income tax positions where it is not more likely than not that a tax benefit will be sustained, the Company does not recognize a tax benefit in the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 </w:t>
      </w:r>
      <w:r>
        <w:rPr>
          <w:rFonts w:ascii="Times New Roman;Times;Serif" w:hAnsi="Times New Roman;Times;Serif"/>
          <w:b w:val="false"/>
          <w:i w:val="false"/>
          <w:caps w:val="false"/>
          <w:smallCaps w:val="false"/>
          <w:sz w:val="20"/>
        </w:rPr>
        <w:t>Subsequently, in January 2025, the FASB issued ASU No. 2025-01 to clarify the effective date of this guidance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ASU 2024-03 requires enhanced disclosure regarding specific expense categories, such as inventory costs, employee compensation, and depreciation, within the notes to the financial statements. The pronouncement is effective for annual reporting periods in fiscal years beginning after December 15, 2026, and for interim reporting periods beginning after December 15, 2027, with early adoption permitted. The guidance allows for either prospective or retrospective application. The Company does not expect the adoption of this pronouncement to have a material impact to its interim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No. 2025-07, </w:t>
      </w:r>
      <w:r>
        <w:rPr>
          <w:rFonts w:ascii="Times New Roman;Times;Serif" w:hAnsi="Times New Roman;Times;Serif"/>
          <w:b w:val="false"/>
          <w:i/>
          <w:caps w:val="false"/>
          <w:smallCaps w:val="false"/>
          <w:sz w:val="20"/>
        </w:rPr>
        <w:t>Derivatives and Hedging (Topic 815) and Revenue from Contracts with Customers (Topic 606): Derivative Scope Refinements and Scope Clarification for Share-Based Noncash Consideration from a Customer in a Revenue Contract</w:t>
      </w:r>
      <w:r>
        <w:rPr>
          <w:rFonts w:ascii="Times New Roman;Times;Serif" w:hAnsi="Times New Roman;Times;Serif"/>
          <w:b w:val="false"/>
          <w:i w:val="false"/>
          <w:caps w:val="false"/>
          <w:smallCaps w:val="false"/>
          <w:sz w:val="20"/>
        </w:rPr>
        <w:t xml:space="preserve"> (ASU 2025-07), which refines the scope of Topic 815 by clarifying which contracts are subject to derivative accounting and expands the scope exception for certain contracts not traded on an exchange to include contracts for which settlement is based on operations or activities specific to one of the parties to the contract. The guidance also provides clarification under Topic 606 for share-based payments from a customer in a revenue contract. The guidance is effective for annual periods beginning after December 15, 2026 and interim periods within those annual reporting periods. Early adoption is permitted. The Company is currently evaluating the impact of the adoption of this pronouncement,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the Company entered into a lease agreement with Nine Nuclear and Industrial Engineering S.R.L. (“</w:t>
      </w:r>
      <w:r>
        <w:rPr>
          <w:rFonts w:ascii="Times New Roman;Times;Serif" w:hAnsi="Times New Roman;Times;Serif"/>
          <w:b/>
          <w:i w:val="false"/>
          <w:caps w:val="false"/>
          <w:smallCaps w:val="false"/>
          <w:sz w:val="20"/>
        </w:rPr>
        <w:t>Nine</w:t>
      </w:r>
      <w:r>
        <w:rPr>
          <w:rFonts w:ascii="Times New Roman;Times;Serif" w:hAnsi="Times New Roman;Times;Serif"/>
          <w:b w:val="false"/>
          <w:i w:val="false"/>
          <w:caps w:val="false"/>
          <w:smallCaps w:val="false"/>
          <w:sz w:val="20"/>
        </w:rPr>
        <w:t>”), a related party, to sublease three office rooms from a property unit located in Lucca, Sorbano del Giudice, Via della Chiesa XXXII n. 759. The three office rooms will be used exclusively for professional office purposes and related activities. The term of the lease agreement is 24 months starting from April 1, 2025 and ending on March 31, 2027. Each party may withdraw from the lease agreement at any time before the expiration date of the contract without any penalty. The rent is $12 (€11) per annum, $1 (€1) monthly and an immaterial monthly fee as a flat-rate reimbursement for utilities and cleaning costs (the “</w:t>
      </w:r>
      <w:r>
        <w:rPr>
          <w:rFonts w:ascii="Times New Roman;Times;Serif" w:hAnsi="Times New Roman;Times;Serif"/>
          <w:b/>
          <w:i w:val="false"/>
          <w:caps w:val="false"/>
          <w:smallCaps w:val="false"/>
          <w:sz w:val="20"/>
        </w:rPr>
        <w:t>Lease Fee</w:t>
      </w:r>
      <w:r>
        <w:rPr>
          <w:rFonts w:ascii="Times New Roman;Times;Serif" w:hAnsi="Times New Roman;Times;Serif"/>
          <w:b w:val="false"/>
          <w:i w:val="false"/>
          <w:caps w:val="false"/>
          <w:smallCaps w:val="false"/>
          <w:sz w:val="20"/>
        </w:rPr>
        <w:t>”), with the total monthly amount to be paid no later than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each month. The Lease Fee will be updated annually by 75% of the variation in the official consumer price indices for worker and employee families as determined by the Italian Statistics Day (“</w:t>
      </w:r>
      <w:r>
        <w:rPr>
          <w:rFonts w:ascii="Times New Roman;Times;Serif" w:hAnsi="Times New Roman;Times;Serif"/>
          <w:b/>
          <w:i w:val="false"/>
          <w:caps w:val="false"/>
          <w:smallCaps w:val="false"/>
          <w:sz w:val="20"/>
        </w:rPr>
        <w:t>ISTAT</w:t>
      </w:r>
      <w:r>
        <w:rPr>
          <w:rFonts w:ascii="Times New Roman;Times;Serif" w:hAnsi="Times New Roman;Times;Serif"/>
          <w:b w:val="false"/>
          <w:i w:val="false"/>
          <w:caps w:val="false"/>
          <w:smallCaps w:val="false"/>
          <w:sz w:val="20"/>
        </w:rPr>
        <w:t>”) in the previous year and subsequently year by year, with the first update taking effect on April 1, 2026. During the three and six months ended June 30, 2026, the Company paid $3 and $6 in rent,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Engineering Services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11, 2025, the Company entered into an engineering services agreement with Nine, a related party, to support the design of the SOLO project. Per the terms of the agreement, Nine committed to deliver certain technical services to the Company with a total value of $215 (€184) plus value added tax (“</w:t>
      </w:r>
      <w:r>
        <w:rPr>
          <w:rFonts w:ascii="Times New Roman;Times;Serif" w:hAnsi="Times New Roman;Times;Serif"/>
          <w:b/>
          <w:i w:val="false"/>
          <w:caps w:val="false"/>
          <w:smallCaps w:val="false"/>
          <w:sz w:val="20"/>
        </w:rPr>
        <w:t>VAT</w:t>
      </w:r>
      <w:r>
        <w:rPr>
          <w:rFonts w:ascii="Times New Roman;Times;Serif" w:hAnsi="Times New Roman;Times;Serif"/>
          <w:b w:val="false"/>
          <w:i w:val="false"/>
          <w:caps w:val="false"/>
          <w:smallCaps w:val="false"/>
          <w:sz w:val="20"/>
        </w:rPr>
        <w:t>”). The costs associated with these services were expensed during the six months ended June 30, 2026. Any unpaid amounts as of quarter-end are included in accrued expenses and other current liabilities.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Prepaid Expenses and Other Current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7425" w:type="dxa"/>
        <w:jc w:val="left"/>
        <w:tblInd w:w="0" w:type="dxa"/>
        <w:tblLayout w:type="fixed"/>
        <w:tblCellMar>
          <w:top w:w="0" w:type="dxa"/>
          <w:left w:w="0" w:type="dxa"/>
          <w:bottom w:w="0" w:type="dxa"/>
          <w:right w:w="0" w:type="dxa"/>
        </w:tblCellMar>
      </w:tblPr>
      <w:tblGrid>
        <w:gridCol w:w="4880"/>
        <w:gridCol w:w="60"/>
        <w:gridCol w:w="175"/>
        <w:gridCol w:w="700"/>
        <w:gridCol w:w="60"/>
        <w:gridCol w:w="60"/>
        <w:gridCol w:w="283"/>
        <w:gridCol w:w="1132"/>
        <w:gridCol w:w="75"/>
      </w:tblGrid>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Value added tax</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2,660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407</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Technical consultancy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1,444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177</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Bank interest accrued</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375</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Membership fees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39</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997</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Tax receivables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757</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Advisory fees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243</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Advertising</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27</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126</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b/>
              </w:rPr>
            </w:pPr>
            <w:r>
              <w:rPr>
                <w:b/>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6,626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3,148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603" w:type="dxa"/>
        <w:jc w:val="left"/>
        <w:tblInd w:w="0" w:type="dxa"/>
        <w:tblLayout w:type="fixed"/>
        <w:tblCellMar>
          <w:top w:w="0" w:type="dxa"/>
          <w:left w:w="0" w:type="dxa"/>
          <w:bottom w:w="0" w:type="dxa"/>
          <w:right w:w="0" w:type="dxa"/>
        </w:tblCellMar>
      </w:tblPr>
      <w:tblGrid>
        <w:gridCol w:w="2990"/>
        <w:gridCol w:w="60"/>
        <w:gridCol w:w="235"/>
        <w:gridCol w:w="639"/>
        <w:gridCol w:w="95"/>
        <w:gridCol w:w="60"/>
        <w:gridCol w:w="380"/>
        <w:gridCol w:w="1034"/>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Fixed assets not in service</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113</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Computer hardware</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12" w:space="0" w:color="000000"/>
            </w:tcBorders>
            <w:shd w:fill="FFFFFF" w:val="clear"/>
            <w:tcMar>
              <w:bottom w:w="28" w:type="dxa"/>
            </w:tcMar>
            <w:vAlign w:val="center"/>
          </w:tcPr>
          <w:p>
            <w:pPr>
              <w:pStyle w:val="TableContents"/>
              <w:bidi w:val="0"/>
              <w:spacing w:before="0" w:after="283"/>
              <w:jc w:val="right"/>
              <w:rPr/>
            </w:pPr>
            <w:r>
              <w:rPr/>
              <w:t>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113</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12" w:space="0" w:color="000000"/>
            </w:tcBorders>
            <w:shd w:fill="FFFFFF" w:val="clear"/>
            <w:tcMar>
              <w:bottom w:w="28" w:type="dxa"/>
            </w:tcM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110" w:type="dxa"/>
            <w:tcBorders/>
            <w:shd w:fill="FFFFFF" w:val="clear"/>
            <w:vAlign w:val="center"/>
          </w:tcPr>
          <w:p>
            <w:pPr>
              <w:pStyle w:val="TableContents"/>
              <w:bidi w:val="0"/>
              <w:spacing w:before="0" w:after="283"/>
              <w:jc w:val="left"/>
              <w:rPr/>
            </w:pPr>
            <w:r>
              <w:rPr/>
              <w:t>)</w:t>
            </w:r>
          </w:p>
        </w:tc>
      </w:tr>
      <w:tr>
        <w:trPr/>
        <w:tc>
          <w:tcPr>
            <w:tcW w:w="2990" w:type="dxa"/>
            <w:tcBorders/>
            <w:shd w:fill="CCEEFF" w:val="clear"/>
            <w:vAlign w:val="center"/>
          </w:tcPr>
          <w:p>
            <w:pPr>
              <w:pStyle w:val="TableContents"/>
              <w:bidi w:val="0"/>
              <w:spacing w:before="0" w:after="283"/>
              <w:jc w:val="left"/>
              <w:rPr>
                <w:b/>
              </w:rPr>
            </w:pPr>
            <w:r>
              <w:rPr>
                <w:b/>
              </w:rPr>
              <w:t>Equipment, net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3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equipment was $8 and $14 during the three and six months ended June 30, 2026, respectively. There was no depreciation expense in the three and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2026, the Company entered into a lease for office space in Lucca, Italy, with a noncancelable term commencing April 1, 2026 and expiring March 31, 2032. The lease provides for annual base rent of approximately $88 (€75), which is adjusted annually in accordance with the variation in the Italian consumer price index (“</w:t>
      </w:r>
      <w:r>
        <w:rPr>
          <w:rFonts w:ascii="Times New Roman;Times;Serif" w:hAnsi="Times New Roman;Times;Serif"/>
          <w:b/>
          <w:i w:val="false"/>
          <w:caps w:val="false"/>
          <w:smallCaps w:val="false"/>
          <w:sz w:val="20"/>
        </w:rPr>
        <w:t>ISTAT</w:t>
      </w:r>
      <w:r>
        <w:rPr>
          <w:rFonts w:ascii="Times New Roman;Times;Serif" w:hAnsi="Times New Roman;Times;Serif"/>
          <w:b w:val="false"/>
          <w:i w:val="false"/>
          <w:caps w:val="false"/>
          <w:smallCaps w:val="false"/>
          <w:sz w:val="20"/>
        </w:rPr>
        <w:t>”), as required under Italian commercial lease law. These index-based rent adjustments are variable lease payments and are recognized as expense in the period incurred; they are not included in the measurement of the lease liability or right-of-use asset.</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whether an arrangement contains a lease at inception and records a right-of-use (“</w:t>
      </w:r>
      <w:r>
        <w:rPr>
          <w:rFonts w:ascii="Times New Roman;Times;Serif" w:hAnsi="Times New Roman;Times;Serif"/>
          <w:b/>
          <w:i w:val="false"/>
          <w:caps w:val="false"/>
          <w:smallCaps w:val="false"/>
          <w:sz w:val="20"/>
        </w:rPr>
        <w:t>ROU”</w:t>
      </w:r>
      <w:r>
        <w:rPr>
          <w:rFonts w:ascii="Times New Roman;Times;Serif" w:hAnsi="Times New Roman;Times;Serif"/>
          <w:b w:val="false"/>
          <w:i w:val="false"/>
          <w:caps w:val="false"/>
          <w:smallCaps w:val="false"/>
          <w:sz w:val="20"/>
        </w:rPr>
        <w:t>) asset and lease liability for leases with terms greater than twelve months.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 was $22 during both the three and six months ended June 30, 2026. The cash paid for amounts included in the measurement of operating lease liabilities was $22 during both the three and six months ended June 30, 2026. The weighted average remaining lease term was 5.75 years, and the weighted-average discount rate was 9.22% as of June 30, 2026.</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lease payments under operating leases as of June 30, 2026, were as follows:</w:t>
      </w:r>
    </w:p>
    <w:p>
      <w:pPr>
        <w:pStyle w:val="TextBody"/>
        <w:bidi w:val="0"/>
        <w:spacing w:before="0" w:after="0"/>
        <w:ind w:left="0" w:right="0" w:firstLine="450"/>
        <w:jc w:val="both"/>
        <w:rPr>
          <w:caps w:val="false"/>
          <w:smallCaps w:val="false"/>
        </w:rPr>
      </w:pPr>
      <w:r>
        <w:rPr>
          <w:caps w:val="false"/>
          <w:smallCaps w:val="false"/>
        </w:rPr>
        <w:t> </w:t>
      </w:r>
    </w:p>
    <w:tbl>
      <w:tblPr>
        <w:tblW w:w="5099" w:type="dxa"/>
        <w:jc w:val="left"/>
        <w:tblInd w:w="0" w:type="dxa"/>
        <w:tblLayout w:type="fixed"/>
        <w:tblCellMar>
          <w:top w:w="0" w:type="dxa"/>
          <w:left w:w="0" w:type="dxa"/>
          <w:bottom w:w="0" w:type="dxa"/>
          <w:right w:w="0" w:type="dxa"/>
        </w:tblCellMar>
      </w:tblPr>
      <w:tblGrid>
        <w:gridCol w:w="3140"/>
        <w:gridCol w:w="60"/>
        <w:gridCol w:w="420"/>
        <w:gridCol w:w="1369"/>
        <w:gridCol w:w="110"/>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Operating Leases</w:t>
            </w:r>
          </w:p>
        </w:tc>
        <w:tc>
          <w:tcPr>
            <w:tcW w:w="11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2026 (remaining)</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w:t>
            </w:r>
          </w:p>
        </w:tc>
        <w:tc>
          <w:tcPr>
            <w:tcW w:w="1369" w:type="dxa"/>
            <w:tcBorders/>
            <w:shd w:fill="CCEEFF" w:val="clear"/>
            <w:vAlign w:val="center"/>
          </w:tcPr>
          <w:p>
            <w:pPr>
              <w:pStyle w:val="TableContents"/>
              <w:bidi w:val="0"/>
              <w:spacing w:before="0" w:after="283"/>
              <w:jc w:val="right"/>
              <w:rPr/>
            </w:pPr>
            <w:r>
              <w:rPr/>
              <w:t>43</w:t>
            </w:r>
          </w:p>
        </w:tc>
        <w:tc>
          <w:tcPr>
            <w:tcW w:w="11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86</w:t>
            </w:r>
          </w:p>
        </w:tc>
        <w:tc>
          <w:tcPr>
            <w:tcW w:w="11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86</w:t>
            </w:r>
          </w:p>
        </w:tc>
        <w:tc>
          <w:tcPr>
            <w:tcW w:w="11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86</w:t>
            </w:r>
          </w:p>
        </w:tc>
        <w:tc>
          <w:tcPr>
            <w:tcW w:w="11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86</w:t>
            </w:r>
          </w:p>
        </w:tc>
        <w:tc>
          <w:tcPr>
            <w:tcW w:w="11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4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12" w:space="0" w:color="000000"/>
            </w:tcBorders>
            <w:shd w:fill="FFFFFF" w:val="clear"/>
            <w:tcMar>
              <w:bottom w:w="28" w:type="dxa"/>
            </w:tcMar>
            <w:vAlign w:val="center"/>
          </w:tcPr>
          <w:p>
            <w:pPr>
              <w:pStyle w:val="TableContents"/>
              <w:bidi w:val="0"/>
              <w:spacing w:before="0" w:after="283"/>
              <w:jc w:val="right"/>
              <w:rPr/>
            </w:pPr>
            <w:r>
              <w:rPr/>
              <w:t>107</w:t>
            </w:r>
          </w:p>
        </w:tc>
        <w:tc>
          <w:tcPr>
            <w:tcW w:w="11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494</w:t>
            </w:r>
          </w:p>
        </w:tc>
        <w:tc>
          <w:tcPr>
            <w:tcW w:w="11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4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9" w:type="dxa"/>
            <w:tcBorders>
              <w:bottom w:val="single" w:sz="12" w:space="0" w:color="000000"/>
            </w:tcBorders>
            <w:shd w:fill="FFFFFF" w:val="clear"/>
            <w:tcMar>
              <w:bottom w:w="28" w:type="dxa"/>
            </w:tcMar>
            <w:vAlign w:val="center"/>
          </w:tcPr>
          <w:p>
            <w:pPr>
              <w:pStyle w:val="TableContents"/>
              <w:bidi w:val="0"/>
              <w:spacing w:before="0" w:after="283"/>
              <w:jc w:val="right"/>
              <w:rPr/>
            </w:pPr>
            <w:r>
              <w:rPr/>
              <w:t>(110</w:t>
            </w:r>
          </w:p>
        </w:tc>
        <w:tc>
          <w:tcPr>
            <w:tcW w:w="110" w:type="dxa"/>
            <w:tcBorders/>
            <w:shd w:fill="FFFFFF" w:val="clear"/>
            <w:vAlign w:val="center"/>
          </w:tcPr>
          <w:p>
            <w:pPr>
              <w:pStyle w:val="TableContents"/>
              <w:bidi w:val="0"/>
              <w:spacing w:before="0" w:after="283"/>
              <w:jc w:val="left"/>
              <w:rPr/>
            </w:pPr>
            <w:r>
              <w:rPr/>
              <w:t>)</w:t>
            </w:r>
          </w:p>
        </w:tc>
      </w:tr>
      <w:tr>
        <w:trPr/>
        <w:tc>
          <w:tcPr>
            <w:tcW w:w="3140" w:type="dxa"/>
            <w:tcBorders/>
            <w:shd w:fill="CCEEFF" w:val="clear"/>
            <w:vAlign w:val="center"/>
          </w:tcPr>
          <w:p>
            <w:pPr>
              <w:pStyle w:val="TableContents"/>
              <w:bidi w:val="0"/>
              <w:spacing w:before="0" w:after="283"/>
              <w:jc w:val="left"/>
              <w:rPr>
                <w:b/>
              </w:rPr>
            </w:pPr>
            <w:r>
              <w:rPr>
                <w:b/>
              </w:rPr>
              <w:t>Present value of lease liabilities</w:t>
            </w:r>
          </w:p>
        </w:tc>
        <w:tc>
          <w:tcPr>
            <w:tcW w:w="60" w:type="dxa"/>
            <w:tcBorders/>
            <w:shd w:fill="CCEEFF" w:val="clear"/>
            <w:vAlign w:val="center"/>
          </w:tcPr>
          <w:p>
            <w:pPr>
              <w:pStyle w:val="TableContents"/>
              <w:bidi w:val="0"/>
              <w:spacing w:before="0" w:after="283"/>
              <w:jc w:val="left"/>
              <w:rPr/>
            </w:pPr>
            <w:r>
              <w:rPr/>
              <w:t> </w:t>
            </w:r>
          </w:p>
        </w:tc>
        <w:tc>
          <w:tcPr>
            <w:tcW w:w="4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69" w:type="dxa"/>
            <w:tcBorders>
              <w:bottom w:val="double" w:sz="10" w:space="0" w:color="000000"/>
            </w:tcBorders>
            <w:shd w:fill="CCEEFF" w:val="clear"/>
            <w:tcMar>
              <w:bottom w:w="28" w:type="dxa"/>
            </w:tcMar>
            <w:vAlign w:val="center"/>
          </w:tcPr>
          <w:p>
            <w:pPr>
              <w:pStyle w:val="TableContents"/>
              <w:bidi w:val="0"/>
              <w:spacing w:before="0" w:after="283"/>
              <w:jc w:val="right"/>
              <w:rPr/>
            </w:pPr>
            <w:r>
              <w:rPr/>
              <w:t>384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Accrued Expenses and Other Current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7755" w:type="dxa"/>
        <w:jc w:val="left"/>
        <w:tblInd w:w="0" w:type="dxa"/>
        <w:tblLayout w:type="fixed"/>
        <w:tblCellMar>
          <w:top w:w="0" w:type="dxa"/>
          <w:left w:w="0" w:type="dxa"/>
          <w:bottom w:w="0" w:type="dxa"/>
          <w:right w:w="0" w:type="dxa"/>
        </w:tblCellMar>
      </w:tblPr>
      <w:tblGrid>
        <w:gridCol w:w="5210"/>
        <w:gridCol w:w="60"/>
        <w:gridCol w:w="175"/>
        <w:gridCol w:w="700"/>
        <w:gridCol w:w="60"/>
        <w:gridCol w:w="60"/>
        <w:gridCol w:w="283"/>
        <w:gridCol w:w="1132"/>
        <w:gridCol w:w="75"/>
      </w:tblGrid>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Legal, accounting and other professional services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947</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Value added tax payable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1,313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315</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Technical consultancy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238</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Directors compensation</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113</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Wages payable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329</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67</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b/>
              </w:rPr>
            </w:pPr>
            <w:r>
              <w:rPr>
                <w:b/>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Fair Value Measurements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Instruments Not Recorded at Fair Value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their short-term nature, the carrying value of the Company’s cash and cash equivalents, prepaid expenses and other current assets, accounts receivable, accounts payable and other non-current liabilities approximate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Instruments Recorded at Fair Value on a Recurring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Share-settled Contingent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consummation of the Business Combination on October 9, 2025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the Company entered into share-settled arrangements involving (i) contingently Convertible Preferred Shares issued to former Terra Innovatum Global Srl. quotaholders and (ii) contingently vesting GSR III Sponsor LLC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ordinary shares subject to market-based and regulatory milestones. These arrangements may result in the issuance or vesting of a variable number of ordinary shares and are not solely indexed to the Company’s stock price. As a result, they were initially classified and measured as liabilities at fair value, with the related amounts recorded within share-settled contingent liability in the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certain milestones were achieved, resulting in the settlement of a portion of these arrangements. Immediately prior to settlement, the corresponding share-settled contingent liability was remeasured to fair value. Upon settlement, the related liability was reclassified to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unearned milestone tranches remain classified as share-settled contingent liabilities and are remeasured at fair value at each reporting date, with changes recognized in earnings until the applicable milestones are achieved or expire.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provide a summary of changes in the estimated fair value of the Share-Settled Contingent Liability using significant Level 3 inputs: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95"/>
        <w:gridCol w:w="60"/>
        <w:gridCol w:w="140"/>
        <w:gridCol w:w="800"/>
        <w:gridCol w:w="110"/>
      </w:tblGrid>
      <w:tr>
        <w:trPr/>
        <w:tc>
          <w:tcPr>
            <w:tcW w:w="9095" w:type="dxa"/>
            <w:tcBorders/>
            <w:shd w:fill="CCEEFF" w:val="clear"/>
            <w:vAlign w:val="center"/>
          </w:tcPr>
          <w:p>
            <w:pPr>
              <w:pStyle w:val="TableContents"/>
              <w:bidi w:val="0"/>
              <w:spacing w:before="0" w:after="283"/>
              <w:jc w:val="left"/>
              <w:rPr>
                <w:b/>
              </w:rPr>
            </w:pPr>
            <w:r>
              <w:rPr>
                <w:b/>
              </w:rPr>
              <w:t>Balance - January 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186,323</w:t>
            </w:r>
          </w:p>
        </w:tc>
        <w:tc>
          <w:tcPr>
            <w:tcW w:w="110" w:type="dxa"/>
            <w:tcBorders/>
            <w:shd w:fill="CCEEFF" w:val="clear"/>
            <w:vAlign w:val="center"/>
          </w:tcPr>
          <w:p>
            <w:pPr>
              <w:pStyle w:val="TableContents"/>
              <w:bidi w:val="0"/>
              <w:spacing w:before="0" w:after="283"/>
              <w:jc w:val="left"/>
              <w:rPr/>
            </w:pPr>
            <w:r>
              <w:rPr/>
              <w:t> </w:t>
            </w:r>
          </w:p>
        </w:tc>
      </w:tr>
      <w:tr>
        <w:trPr/>
        <w:tc>
          <w:tcPr>
            <w:tcW w:w="9095" w:type="dxa"/>
            <w:tcBorders/>
            <w:shd w:fill="FFFFFF" w:val="clear"/>
            <w:vAlign w:val="center"/>
          </w:tcPr>
          <w:p>
            <w:pPr>
              <w:pStyle w:val="TableContents"/>
              <w:bidi w:val="0"/>
              <w:spacing w:before="0" w:after="283"/>
              <w:jc w:val="left"/>
              <w:rPr/>
            </w:pPr>
            <w:r>
              <w:rPr/>
              <w:t>Loss recognized in earnings due to change of fair value, net of foreign currency remeasurement impact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3,335</w:t>
            </w:r>
          </w:p>
        </w:tc>
        <w:tc>
          <w:tcPr>
            <w:tcW w:w="110" w:type="dxa"/>
            <w:tcBorders/>
            <w:shd w:fill="FFFFFF" w:val="clear"/>
            <w:vAlign w:val="center"/>
          </w:tcPr>
          <w:p>
            <w:pPr>
              <w:pStyle w:val="TableContents"/>
              <w:bidi w:val="0"/>
              <w:spacing w:before="0" w:after="283"/>
              <w:jc w:val="left"/>
              <w:rPr/>
            </w:pPr>
            <w:r>
              <w:rPr/>
              <w:t> </w:t>
            </w:r>
          </w:p>
        </w:tc>
      </w:tr>
      <w:tr>
        <w:trPr/>
        <w:tc>
          <w:tcPr>
            <w:tcW w:w="9095"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(3,798</w:t>
            </w:r>
          </w:p>
        </w:tc>
        <w:tc>
          <w:tcPr>
            <w:tcW w:w="110" w:type="dxa"/>
            <w:tcBorders/>
            <w:shd w:fill="CCEEFF" w:val="clear"/>
            <w:vAlign w:val="center"/>
          </w:tcPr>
          <w:p>
            <w:pPr>
              <w:pStyle w:val="TableContents"/>
              <w:bidi w:val="0"/>
              <w:spacing w:before="0" w:after="283"/>
              <w:jc w:val="left"/>
              <w:rPr/>
            </w:pPr>
            <w:r>
              <w:rPr/>
              <w:t>)</w:t>
            </w:r>
          </w:p>
        </w:tc>
      </w:tr>
      <w:tr>
        <w:trPr/>
        <w:tc>
          <w:tcPr>
            <w:tcW w:w="9095" w:type="dxa"/>
            <w:tcBorders/>
            <w:shd w:fill="FFFFFF" w:val="clear"/>
            <w:vAlign w:val="center"/>
          </w:tcPr>
          <w:p>
            <w:pPr>
              <w:pStyle w:val="TableContents"/>
              <w:bidi w:val="0"/>
              <w:spacing w:before="0" w:after="283"/>
              <w:jc w:val="left"/>
              <w:rPr>
                <w:b/>
              </w:rPr>
            </w:pPr>
            <w:r>
              <w:rPr>
                <w:b/>
              </w:rPr>
              <w:t>Balance -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185,860</w:t>
            </w:r>
          </w:p>
        </w:tc>
        <w:tc>
          <w:tcPr>
            <w:tcW w:w="110" w:type="dxa"/>
            <w:tcBorders/>
            <w:shd w:fill="FFFFFF" w:val="clear"/>
            <w:vAlign w:val="center"/>
          </w:tcPr>
          <w:p>
            <w:pPr>
              <w:pStyle w:val="TableContents"/>
              <w:bidi w:val="0"/>
              <w:spacing w:before="0" w:after="283"/>
              <w:jc w:val="left"/>
              <w:rPr/>
            </w:pPr>
            <w:r>
              <w:rPr/>
              <w:t> </w:t>
            </w:r>
          </w:p>
        </w:tc>
      </w:tr>
      <w:tr>
        <w:trPr/>
        <w:tc>
          <w:tcPr>
            <w:tcW w:w="9095" w:type="dxa"/>
            <w:tcBorders/>
            <w:shd w:fill="CCEEFF" w:val="clear"/>
            <w:vAlign w:val="center"/>
          </w:tcPr>
          <w:p>
            <w:pPr>
              <w:pStyle w:val="TableContents"/>
              <w:bidi w:val="0"/>
              <w:spacing w:before="0" w:after="283"/>
              <w:jc w:val="left"/>
              <w:rPr/>
            </w:pPr>
            <w:r>
              <w:rPr/>
              <w:t>Loss recognized in earnings due to change of fair value, net of foreign currency remeasurement impact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12,492</w:t>
            </w:r>
          </w:p>
        </w:tc>
        <w:tc>
          <w:tcPr>
            <w:tcW w:w="110" w:type="dxa"/>
            <w:tcBorders/>
            <w:shd w:fill="CCEEFF" w:val="clear"/>
            <w:vAlign w:val="center"/>
          </w:tcPr>
          <w:p>
            <w:pPr>
              <w:pStyle w:val="TableContents"/>
              <w:bidi w:val="0"/>
              <w:spacing w:before="0" w:after="283"/>
              <w:jc w:val="left"/>
              <w:rPr/>
            </w:pPr>
            <w:r>
              <w:rPr/>
              <w:t> </w:t>
            </w:r>
          </w:p>
        </w:tc>
      </w:tr>
      <w:tr>
        <w:trPr/>
        <w:tc>
          <w:tcPr>
            <w:tcW w:w="9095"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(1,825</w:t>
            </w:r>
          </w:p>
        </w:tc>
        <w:tc>
          <w:tcPr>
            <w:tcW w:w="110" w:type="dxa"/>
            <w:tcBorders/>
            <w:shd w:fill="FFFFFF" w:val="clear"/>
            <w:vAlign w:val="center"/>
          </w:tcPr>
          <w:p>
            <w:pPr>
              <w:pStyle w:val="TableContents"/>
              <w:bidi w:val="0"/>
              <w:spacing w:before="0" w:after="283"/>
              <w:jc w:val="left"/>
              <w:rPr/>
            </w:pPr>
            <w:r>
              <w:rPr/>
              <w:t>)</w:t>
            </w:r>
          </w:p>
        </w:tc>
      </w:tr>
      <w:tr>
        <w:trPr/>
        <w:tc>
          <w:tcPr>
            <w:tcW w:w="9095" w:type="dxa"/>
            <w:tcBorders/>
            <w:shd w:fill="CCEEFF" w:val="clear"/>
            <w:vAlign w:val="center"/>
          </w:tcPr>
          <w:p>
            <w:pPr>
              <w:pStyle w:val="TableContents"/>
              <w:bidi w:val="0"/>
              <w:spacing w:before="0" w:after="283"/>
              <w:jc w:val="left"/>
              <w:rPr>
                <w:b/>
              </w:rPr>
            </w:pPr>
            <w:r>
              <w:rPr>
                <w:b/>
              </w:rPr>
              <w:t>Balance -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196,527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the Share-Settled Contingent Liability using the Monte Carlo option pricing model with the following inputs: </w:t>
      </w:r>
    </w:p>
    <w:p>
      <w:pPr>
        <w:pStyle w:val="TextBody"/>
        <w:bidi w:val="0"/>
        <w:spacing w:before="0" w:after="0"/>
        <w:ind w:left="0" w:right="0" w:hanging="0"/>
        <w:jc w:val="left"/>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3830"/>
        <w:gridCol w:w="60"/>
        <w:gridCol w:w="60"/>
        <w:gridCol w:w="890"/>
        <w:gridCol w:w="230"/>
      </w:tblGrid>
      <w:tr>
        <w:trPr/>
        <w:tc>
          <w:tcPr>
            <w:tcW w:w="3830" w:type="dxa"/>
            <w:tcBorders/>
            <w:shd w:fill="CCEEFF" w:val="clear"/>
            <w:vAlign w:val="center"/>
          </w:tcPr>
          <w:p>
            <w:pPr>
              <w:pStyle w:val="TableContents"/>
              <w:bidi w:val="0"/>
              <w:spacing w:before="0" w:after="283"/>
              <w:jc w:val="left"/>
              <w:rPr/>
            </w:pPr>
            <w:r>
              <w:rPr/>
              <w:t>Weighted average expected term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6.3</w:t>
            </w:r>
          </w:p>
        </w:tc>
        <w:tc>
          <w:tcPr>
            <w:tcW w:w="23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Weighted average 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127.5</w:t>
            </w:r>
          </w:p>
        </w:tc>
        <w:tc>
          <w:tcPr>
            <w:tcW w:w="230" w:type="dxa"/>
            <w:tcBorders/>
            <w:shd w:fill="FFFFFF" w:val="clear"/>
            <w:vAlign w:val="center"/>
          </w:tcPr>
          <w:p>
            <w:pPr>
              <w:pStyle w:val="TableContents"/>
              <w:bidi w:val="0"/>
              <w:spacing w:before="0" w:after="283"/>
              <w:jc w:val="left"/>
              <w:rPr/>
            </w:pPr>
            <w:r>
              <w:rPr/>
              <w:t>%</w:t>
            </w:r>
          </w:p>
        </w:tc>
      </w:tr>
      <w:tr>
        <w:trPr/>
        <w:tc>
          <w:tcPr>
            <w:tcW w:w="38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3.90 - 4.78</w:t>
            </w:r>
          </w:p>
        </w:tc>
        <w:tc>
          <w:tcPr>
            <w:tcW w:w="230" w:type="dxa"/>
            <w:tcBorders/>
            <w:shd w:fill="CCEEFF" w:val="clear"/>
            <w:vAlign w:val="center"/>
          </w:tcPr>
          <w:p>
            <w:pPr>
              <w:pStyle w:val="TableContents"/>
              <w:bidi w:val="0"/>
              <w:spacing w:before="0" w:after="283"/>
              <w:jc w:val="left"/>
              <w:rPr/>
            </w:pPr>
            <w:r>
              <w:rPr/>
              <w:t>%</w:t>
            </w:r>
          </w:p>
        </w:tc>
      </w:tr>
      <w:tr>
        <w:trPr/>
        <w:tc>
          <w:tcPr>
            <w:tcW w:w="3830"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 of the Share-settled Contingent Liability is classified within Level 3 of the fair value hierarchy due to the use of significant unobservable inputs. The valuation is sensitive to changes in expected volatility and the probability-weighted outcomes associated with achieving the applicable market-based and regulatory milestones, such that increases in these assumptions would generally result in a higher fair value measurement and decreases would result in a lower fair value measurement. Certain unobservable inputs are interrelated, and changes in one assumption may magnify or mitigate the effects of changes in other assumptions. Changes in these unobservable inputs are subject to estimation uncertainty, and reasonably different assumptions could have resulted in a materially different fair value measurement at the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 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issued to the PIPE Investor and Bridge Loan lenders in connection with the Merger are accounted for as liabilities in accordance with ASC 815-40 and are presented within warrant liabilities in the consolidated balance sheets. Warrant liabilities are measured at fair value at inception and on a recurring basis, with changes in fair value presented within change in fair value of warrant liabilities in the interim condensed consolidated statements of operations and comprehensive income (loss).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liability-classified warrants is estimated using a Monte Carlo simulation model, which considers the probability-weighted outcomes of future share price paths. Significant inputs used in the valuation include the Company’s share price at the valuation date, expected share price volatility, risk-free interest rate, expected term of the warrants, and expected dividend yield.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valuation relies on significant unobservable inputs, the liability-classified warrants are classified within Level 3 of the fair value hierarchy.</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the liability-classified warrants is sensitive to changes in key unobservable inputs, particularly expected share price volatility and the probability-weighted outcomes of future share price paths. Increases in expected volatility would generally result in a higher fair value measurement, while decreases would result in a lower fair value. Additionally, changes in assumptions regarding the Company’s expected share price performance could materially affect the estimated fair value. Although management believes the assumptions used are reasonable and consistent with available market information, different assumptions could have resulted in a materially different fair value measurement at the reporting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significant assumptions used in the valuation of the liability-classified warrants as of June 30, 2026:</w:t>
      </w:r>
    </w:p>
    <w:p>
      <w:pPr>
        <w:pStyle w:val="TextBody"/>
        <w:bidi w:val="0"/>
        <w:spacing w:before="0" w:after="0"/>
        <w:ind w:left="0" w:right="0" w:firstLine="72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3830"/>
        <w:gridCol w:w="60"/>
        <w:gridCol w:w="148"/>
        <w:gridCol w:w="1387"/>
        <w:gridCol w:w="215"/>
        <w:gridCol w:w="60"/>
        <w:gridCol w:w="126"/>
        <w:gridCol w:w="1184"/>
        <w:gridCol w:w="230"/>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PIPE Warrant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Bridge Loan</w:t>
              <w:br/>
              <w:t>Warrant</w:t>
            </w:r>
          </w:p>
        </w:tc>
        <w:tc>
          <w:tcPr>
            <w:tcW w:w="23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pPr>
            <w:r>
              <w:rPr/>
              <w:t>Weighted average expected term (years)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4.28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2.28</w:t>
            </w:r>
          </w:p>
        </w:tc>
        <w:tc>
          <w:tcPr>
            <w:tcW w:w="23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Weighted average expected volatility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127.5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125.0</w:t>
            </w:r>
          </w:p>
        </w:tc>
        <w:tc>
          <w:tcPr>
            <w:tcW w:w="230" w:type="dxa"/>
            <w:tcBorders/>
            <w:shd w:fill="FFFFFF" w:val="clear"/>
            <w:vAlign w:val="center"/>
          </w:tcPr>
          <w:p>
            <w:pPr>
              <w:pStyle w:val="TableContents"/>
              <w:bidi w:val="0"/>
              <w:spacing w:before="0" w:after="283"/>
              <w:jc w:val="left"/>
              <w:rPr/>
            </w:pPr>
            <w:r>
              <w:rPr/>
              <w:t>%</w:t>
            </w:r>
          </w:p>
        </w:tc>
      </w:tr>
      <w:tr>
        <w:trPr/>
        <w:tc>
          <w:tcPr>
            <w:tcW w:w="38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4.1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4.1</w:t>
            </w:r>
          </w:p>
        </w:tc>
        <w:tc>
          <w:tcPr>
            <w:tcW w:w="230" w:type="dxa"/>
            <w:tcBorders/>
            <w:shd w:fill="CCEEFF" w:val="clear"/>
            <w:vAlign w:val="center"/>
          </w:tcPr>
          <w:p>
            <w:pPr>
              <w:pStyle w:val="TableContents"/>
              <w:bidi w:val="0"/>
              <w:spacing w:before="0" w:after="283"/>
              <w:jc w:val="left"/>
              <w:rPr/>
            </w:pPr>
            <w:r>
              <w:rPr/>
              <w:t>%</w:t>
            </w:r>
          </w:p>
        </w:tc>
      </w:tr>
      <w:tr>
        <w:trPr/>
        <w:tc>
          <w:tcPr>
            <w:tcW w:w="3830"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periods presented, there were no transfers between levels of the fair value hierarchy.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Equity-Classified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Company issued warrants to certain investors to purchase up to 1,000,000 ordinary shares at an exercise price of $7.00 per share. The warrants are exercisable for a term of five years and are classified as equity. These warrants were issued in exchange for advisory services and accounted for as share-based compensation under ASC 718.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Liability-Classified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outstanding warrants issued in connection with the PIPE financing and prior bridge arrangements. These warrants are exercisable at prices ranging from $11.50 to $16.00 per share and have terms of up to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classified as liabilities as they are not considered indexed to the Company’s functional currency in accordance with ASC 815-40. As a result, the warrants are recorded at fair value upon issuance and remeasured at fair value at each reporting date, with changes in fair value recognized in the interim condensed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these warrants were issued in connection with bridge loans that were outstanding prior to the Business Combination and were converted into equity at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activity in the Company’s warrant liabilities for the period ended June 30, 2026:</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60"/>
        <w:gridCol w:w="60"/>
        <w:gridCol w:w="184"/>
        <w:gridCol w:w="736"/>
        <w:gridCol w:w="95"/>
        <w:gridCol w:w="60"/>
        <w:gridCol w:w="262"/>
        <w:gridCol w:w="1048"/>
        <w:gridCol w:w="100"/>
      </w:tblGrid>
      <w:tr>
        <w:trPr/>
        <w:tc>
          <w:tcPr>
            <w:tcW w:w="766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PIPE</w:t>
              <w:br/>
              <w:t>Warrant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Bridge Loan</w:t>
              <w:br/>
              <w:t>Warrant</w:t>
            </w:r>
          </w:p>
        </w:tc>
        <w:tc>
          <w:tcPr>
            <w:tcW w:w="100" w:type="dxa"/>
            <w:tcBorders/>
            <w:vAlign w:val="center"/>
          </w:tcPr>
          <w:p>
            <w:pPr>
              <w:pStyle w:val="TableContents"/>
              <w:bidi w:val="0"/>
              <w:spacing w:before="0" w:after="283"/>
              <w:ind w:left="0" w:right="0" w:hanging="180"/>
              <w:jc w:val="left"/>
              <w:rPr/>
            </w:pPr>
            <w:r>
              <w:rPr/>
              <w:t> </w:t>
            </w:r>
          </w:p>
        </w:tc>
      </w:tr>
      <w:tr>
        <w:trPr/>
        <w:tc>
          <w:tcPr>
            <w:tcW w:w="7660" w:type="dxa"/>
            <w:tcBorders/>
            <w:shd w:fill="CCEEFF" w:val="clear"/>
            <w:vAlign w:val="center"/>
          </w:tcPr>
          <w:p>
            <w:pPr>
              <w:pStyle w:val="TableContents"/>
              <w:bidi w:val="0"/>
              <w:spacing w:before="0" w:after="283"/>
              <w:jc w:val="left"/>
              <w:rPr>
                <w:b/>
              </w:rPr>
            </w:pPr>
            <w:r>
              <w:rPr>
                <w:b/>
              </w:rPr>
              <w:t>Balance - January 1, 2026</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5,931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4,305</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660" w:type="dxa"/>
            <w:tcBorders/>
            <w:shd w:fill="FFFFFF" w:val="clear"/>
            <w:vAlign w:val="center"/>
          </w:tcPr>
          <w:p>
            <w:pPr>
              <w:pStyle w:val="TableContents"/>
              <w:bidi w:val="0"/>
              <w:spacing w:before="0" w:after="283"/>
              <w:jc w:val="left"/>
              <w:rPr/>
            </w:pPr>
            <w:r>
              <w:rPr/>
              <w:t>Loss (gain) recognized in earnings due to change in fair value, net of foreign currency remeasurement impact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(154</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660"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(121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(83</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660" w:type="dxa"/>
            <w:tcBorders/>
            <w:shd w:fill="FFFFFF" w:val="clear"/>
            <w:vAlign w:val="center"/>
          </w:tcPr>
          <w:p>
            <w:pPr>
              <w:pStyle w:val="TableContents"/>
              <w:bidi w:val="0"/>
              <w:spacing w:before="0" w:after="283"/>
              <w:jc w:val="left"/>
              <w:rPr>
                <w:b/>
              </w:rPr>
            </w:pPr>
            <w:r>
              <w:rPr>
                <w:b/>
              </w:rPr>
              <w:t>Balance - March 31, 2026</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4,068</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660" w:type="dxa"/>
            <w:tcBorders/>
            <w:shd w:fill="CCEEFF" w:val="clear"/>
            <w:vAlign w:val="center"/>
          </w:tcPr>
          <w:p>
            <w:pPr>
              <w:pStyle w:val="TableContents"/>
              <w:bidi w:val="0"/>
              <w:spacing w:before="0" w:after="283"/>
              <w:jc w:val="left"/>
              <w:rPr/>
            </w:pPr>
            <w:r>
              <w:rPr/>
              <w:t>Loss recognized in earnings due to change in fair value, net of foreign currency remeasurement impact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73</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660" w:type="dxa"/>
            <w:tcBorders/>
            <w:shd w:fill="FFFFFF" w:val="clear"/>
            <w:vAlign w:val="center"/>
          </w:tcPr>
          <w:p>
            <w:pPr>
              <w:pStyle w:val="TableContents"/>
              <w:bidi w:val="0"/>
              <w:spacing w:before="0" w:after="283"/>
              <w:jc w:val="left"/>
              <w:rPr/>
            </w:pPr>
            <w:r>
              <w:rPr/>
              <w:t>Foreign currency translation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12" w:space="0" w:color="000000"/>
            </w:tcBorders>
            <w:shd w:fill="FFFFFF" w:val="clear"/>
            <w:tcMar>
              <w:bottom w:w="28" w:type="dxa"/>
            </w:tcMar>
            <w:vAlign w:val="center"/>
          </w:tcPr>
          <w:p>
            <w:pPr>
              <w:pStyle w:val="TableContents"/>
              <w:bidi w:val="0"/>
              <w:spacing w:before="0" w:after="283"/>
              <w:jc w:val="right"/>
              <w:rPr/>
            </w:pPr>
            <w:r>
              <w:rPr/>
              <w:t>(37</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660" w:type="dxa"/>
            <w:tcBorders/>
            <w:shd w:fill="CCEEFF" w:val="clear"/>
            <w:vAlign w:val="center"/>
          </w:tcPr>
          <w:p>
            <w:pPr>
              <w:pStyle w:val="TableContents"/>
              <w:bidi w:val="0"/>
              <w:spacing w:before="0" w:after="283"/>
              <w:jc w:val="left"/>
              <w:rPr>
                <w:b/>
              </w:rPr>
            </w:pPr>
            <w:r>
              <w:rPr>
                <w:b/>
              </w:rPr>
              <w:t>Balance - June 30, 2026</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3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6,409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4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4,104</w:t>
            </w:r>
          </w:p>
        </w:tc>
        <w:tc>
          <w:tcPr>
            <w:tcW w:w="1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8 – Fair Value Measurements for additional information regarding the valuation of the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Shareholders’ Deficit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Authorized Share Capital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500,000,000 ordinary shares with a par value of €0.01 per share and 8,040 convertible preferred shares with a par value of €100 per share. Upon conversion of one or more of the convertible preferred shares into ordinary shares, the authorized share capital shall decrease with the number of convertible preferred shares so converted and shall increase with the number of ordinary shares into which such convertible preferred shares were converted.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Vesting Sponsor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549,500 ordinary shares were issued as vesting Sponsor shares. As of June 30, 2026, approximately 50% of these shares have vested, with the remaining shares subject to vesting conditions. The unvested shares are classified as a share-settled contingent liability in the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Preferred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8,000 convertible preferred shares that are mandatorily convertible into ordinary shares upon achievement of specified milestones. As of June 30, 2026, 4,000 shares have converted into ordinary shares, and the remaining 4,000 shares are outstanding and classified as share-settled contingent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SPAC Financial Advisor Preferred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40 convertible preferred shares to a financial advisor as share-based compensation. As of June 30, 2026, 20 shares have converted into ordinary shares and 20 remain outstanding. These awards are classified in equity and accounted for under ASC 718.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Warrants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9 – Warrants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Commitments and Contingencies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Relations and Advisory Services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investor relations and advisory agreement under which it pays a fixed monthly fee, along with certain variable charges. The agreement automatically renewed in April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Markets Advisory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various capital markets advisory agreements with third-party service providers. These agreements include fixed fee commitments payable over contractual terms ranging from approximately one to two years. Certain agreements include customary termination and change-in-control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Engineering and Development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agreements with third-party vendors to support engineering, licensing, and development activities related to the SOLO project. Payments under these agreements are based on contractual milestones, time-based services, or invoiced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Advisor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agreement with an independent contractor providing strategic advisory services. Compensation under the agreement includes potential equity-based awards and a commission on qualifying business opportunities. As of June 30, 2026, no equity awards have been granted under this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Net Loss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a business combination on October 9, 2025, which was accounted for as a recapitalization. Accordingly, historical share information has been retroactively restated to reflect 47,500,000 ordinary shares for periods prior to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attributable to ordinary shareholders were calculated as follows (in thousands except share and per share amounts):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94"/>
        <w:gridCol w:w="60"/>
        <w:gridCol w:w="149"/>
        <w:gridCol w:w="1303"/>
        <w:gridCol w:w="101"/>
        <w:gridCol w:w="64"/>
        <w:gridCol w:w="149"/>
        <w:gridCol w:w="1174"/>
        <w:gridCol w:w="95"/>
        <w:gridCol w:w="60"/>
        <w:gridCol w:w="140"/>
        <w:gridCol w:w="1230"/>
        <w:gridCol w:w="95"/>
        <w:gridCol w:w="60"/>
        <w:gridCol w:w="140"/>
        <w:gridCol w:w="1109"/>
        <w:gridCol w:w="482"/>
      </w:tblGrid>
      <w:tr>
        <w:trPr/>
        <w:tc>
          <w:tcPr>
            <w:tcW w:w="37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482" w:type="dxa"/>
            <w:tcBorders/>
            <w:vAlign w:val="center"/>
          </w:tcPr>
          <w:p>
            <w:pPr>
              <w:pStyle w:val="TableContents"/>
              <w:bidi w:val="0"/>
              <w:spacing w:before="0" w:after="283"/>
              <w:jc w:val="left"/>
              <w:rPr/>
            </w:pPr>
            <w:r>
              <w:rPr/>
              <w:t> </w:t>
            </w:r>
          </w:p>
        </w:tc>
      </w:tr>
      <w:tr>
        <w:trPr/>
        <w:tc>
          <w:tcPr>
            <w:tcW w:w="37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482" w:type="dxa"/>
            <w:tcBorders/>
            <w:vAlign w:val="center"/>
          </w:tcPr>
          <w:p>
            <w:pPr>
              <w:pStyle w:val="TableContents"/>
              <w:bidi w:val="0"/>
              <w:spacing w:before="0" w:after="283"/>
              <w:jc w:val="left"/>
              <w:rPr/>
            </w:pPr>
            <w:r>
              <w:rPr/>
              <w:t> </w:t>
            </w:r>
          </w:p>
        </w:tc>
      </w:tr>
      <w:tr>
        <w:trPr/>
        <w:tc>
          <w:tcPr>
            <w:tcW w:w="3794" w:type="dxa"/>
            <w:tcBorders/>
            <w:vAlign w:val="center"/>
          </w:tcPr>
          <w:p>
            <w:pPr>
              <w:pStyle w:val="TableContents"/>
              <w:bidi w:val="0"/>
              <w:spacing w:before="0" w:after="283"/>
              <w:jc w:val="left"/>
              <w:rPr>
                <w:b/>
              </w:rPr>
            </w:pPr>
            <w:r>
              <w:rPr>
                <w:b/>
              </w:rPr>
              <w:t>Numerator:</w:t>
            </w:r>
          </w:p>
        </w:tc>
        <w:tc>
          <w:tcPr>
            <w:tcW w:w="60" w:type="dxa"/>
            <w:tcBorders/>
            <w:vAlign w:val="center"/>
          </w:tcPr>
          <w:p>
            <w:pPr>
              <w:pStyle w:val="TableContents"/>
              <w:bidi w:val="0"/>
              <w:spacing w:before="0" w:after="283"/>
              <w:jc w:val="left"/>
              <w:rPr/>
            </w:pPr>
            <w:r>
              <w:rPr/>
              <w:t> </w:t>
            </w:r>
          </w:p>
        </w:tc>
        <w:tc>
          <w:tcPr>
            <w:tcW w:w="1452"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2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ind w:left="0" w:right="0" w:firstLine="200"/>
              <w:jc w:val="left"/>
              <w:rPr/>
            </w:pPr>
            <w:r>
              <w:rPr/>
              <w:t> </w:t>
            </w:r>
          </w:p>
        </w:tc>
      </w:tr>
      <w:tr>
        <w:trPr/>
        <w:tc>
          <w:tcPr>
            <w:tcW w:w="3794"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(18,044</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(1,145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30" w:type="dxa"/>
            <w:tcBorders/>
            <w:shd w:fill="CCEEFF" w:val="clear"/>
            <w:vAlign w:val="center"/>
          </w:tcPr>
          <w:p>
            <w:pPr>
              <w:pStyle w:val="TableContents"/>
              <w:bidi w:val="0"/>
              <w:spacing w:before="0" w:after="283"/>
              <w:jc w:val="right"/>
              <w:rPr/>
            </w:pPr>
            <w:r>
              <w:rPr/>
              <w:t>(25,150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(2,593</w:t>
            </w:r>
          </w:p>
        </w:tc>
        <w:tc>
          <w:tcPr>
            <w:tcW w:w="482" w:type="dxa"/>
            <w:tcBorders/>
            <w:shd w:fill="CCEEFF" w:val="clear"/>
            <w:vAlign w:val="center"/>
          </w:tcPr>
          <w:p>
            <w:pPr>
              <w:pStyle w:val="TableContents"/>
              <w:bidi w:val="0"/>
              <w:spacing w:before="0" w:after="283"/>
              <w:jc w:val="left"/>
              <w:rPr/>
            </w:pPr>
            <w:r>
              <w:rPr/>
              <w:t>)</w:t>
            </w:r>
          </w:p>
        </w:tc>
      </w:tr>
      <w:tr>
        <w:trPr/>
        <w:tc>
          <w:tcPr>
            <w:tcW w:w="3794"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482" w:type="dxa"/>
            <w:tcBorders/>
            <w:shd w:fill="FFFFFF" w:val="clear"/>
            <w:vAlign w:val="center"/>
          </w:tcPr>
          <w:p>
            <w:pPr>
              <w:pStyle w:val="TableContents"/>
              <w:bidi w:val="0"/>
              <w:spacing w:before="0" w:after="283"/>
              <w:ind w:left="0" w:right="0" w:firstLine="200"/>
              <w:jc w:val="left"/>
              <w:rPr/>
            </w:pPr>
            <w:r>
              <w:rPr/>
              <w:t> </w:t>
            </w:r>
          </w:p>
        </w:tc>
      </w:tr>
      <w:tr>
        <w:trPr/>
        <w:tc>
          <w:tcPr>
            <w:tcW w:w="3794" w:type="dxa"/>
            <w:tcBorders/>
            <w:shd w:fill="CCEEFF" w:val="clear"/>
            <w:vAlign w:val="center"/>
          </w:tcPr>
          <w:p>
            <w:pPr>
              <w:pStyle w:val="TableContents"/>
              <w:bidi w:val="0"/>
              <w:spacing w:before="0" w:after="283"/>
              <w:jc w:val="left"/>
              <w:rPr/>
            </w:pPr>
            <w:r>
              <w:rPr/>
              <w:t>Weighted-average ordinary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double" w:sz="10" w:space="0" w:color="000000"/>
            </w:tcBorders>
            <w:shd w:fill="CCEEFF" w:val="clear"/>
            <w:tcMar>
              <w:bottom w:w="28" w:type="dxa"/>
            </w:tcMar>
            <w:vAlign w:val="center"/>
          </w:tcPr>
          <w:p>
            <w:pPr>
              <w:pStyle w:val="TableContents"/>
              <w:bidi w:val="0"/>
              <w:spacing w:before="0" w:after="283"/>
              <w:jc w:val="right"/>
              <w:rPr/>
            </w:pPr>
            <w:r>
              <w:rPr/>
              <w:t>110,226,198</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double" w:sz="10" w:space="0" w:color="000000"/>
            </w:tcBorders>
            <w:shd w:fill="CCEEFF" w:val="clear"/>
            <w:tcMar>
              <w:bottom w:w="28" w:type="dxa"/>
            </w:tcMar>
            <w:vAlign w:val="center"/>
          </w:tcPr>
          <w:p>
            <w:pPr>
              <w:pStyle w:val="TableContents"/>
              <w:bidi w:val="0"/>
              <w:spacing w:before="0" w:after="283"/>
              <w:jc w:val="right"/>
              <w:rPr/>
            </w:pPr>
            <w:r>
              <w:rPr/>
              <w:t>47,500,000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double" w:sz="10" w:space="0" w:color="000000"/>
            </w:tcBorders>
            <w:shd w:fill="CCEEFF" w:val="clear"/>
            <w:tcMar>
              <w:bottom w:w="28" w:type="dxa"/>
            </w:tcMar>
            <w:vAlign w:val="center"/>
          </w:tcPr>
          <w:p>
            <w:pPr>
              <w:pStyle w:val="TableContents"/>
              <w:bidi w:val="0"/>
              <w:spacing w:before="0" w:after="283"/>
              <w:jc w:val="right"/>
              <w:rPr/>
            </w:pPr>
            <w:r>
              <w:rPr/>
              <w:t>110,226,198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double" w:sz="10" w:space="0" w:color="000000"/>
            </w:tcBorders>
            <w:shd w:fill="CCEEFF" w:val="clear"/>
            <w:tcMar>
              <w:bottom w:w="28" w:type="dxa"/>
            </w:tcMar>
            <w:vAlign w:val="center"/>
          </w:tcPr>
          <w:p>
            <w:pPr>
              <w:pStyle w:val="TableContents"/>
              <w:bidi w:val="0"/>
              <w:spacing w:before="0" w:after="283"/>
              <w:jc w:val="right"/>
              <w:rPr/>
            </w:pPr>
            <w:r>
              <w:rPr/>
              <w:t>47,500,000</w:t>
            </w:r>
          </w:p>
        </w:tc>
        <w:tc>
          <w:tcPr>
            <w:tcW w:w="482" w:type="dxa"/>
            <w:tcBorders/>
            <w:shd w:fill="CCEEFF" w:val="clear"/>
            <w:vAlign w:val="center"/>
          </w:tcPr>
          <w:p>
            <w:pPr>
              <w:pStyle w:val="TableContents"/>
              <w:bidi w:val="0"/>
              <w:spacing w:before="0" w:after="283"/>
              <w:jc w:val="left"/>
              <w:rPr/>
            </w:pPr>
            <w:r>
              <w:rPr/>
              <w:t> </w:t>
            </w:r>
          </w:p>
        </w:tc>
      </w:tr>
      <w:tr>
        <w:trPr/>
        <w:tc>
          <w:tcPr>
            <w:tcW w:w="3794" w:type="dxa"/>
            <w:tcBorders/>
            <w:shd w:fill="FFFFFF" w:val="clear"/>
            <w:vAlign w:val="center"/>
          </w:tcPr>
          <w:p>
            <w:pPr>
              <w:pStyle w:val="TableContents"/>
              <w:bidi w:val="0"/>
              <w:spacing w:before="0" w:after="283"/>
              <w:jc w:val="left"/>
              <w:rPr>
                <w:b/>
              </w:rPr>
            </w:pPr>
            <w:r>
              <w:rPr>
                <w:b/>
              </w:rPr>
              <w:t>Net loss per share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482" w:type="dxa"/>
            <w:tcBorders/>
            <w:shd w:fill="FFFFFF" w:val="clear"/>
            <w:vAlign w:val="center"/>
          </w:tcPr>
          <w:p>
            <w:pPr>
              <w:pStyle w:val="TableContents"/>
              <w:bidi w:val="0"/>
              <w:spacing w:before="0" w:after="283"/>
              <w:ind w:left="0" w:right="0" w:firstLine="400"/>
              <w:jc w:val="left"/>
              <w:rPr/>
            </w:pPr>
            <w:r>
              <w:rPr/>
              <w:t> </w:t>
            </w:r>
          </w:p>
        </w:tc>
      </w:tr>
      <w:tr>
        <w:trPr/>
        <w:tc>
          <w:tcPr>
            <w:tcW w:w="3794" w:type="dxa"/>
            <w:tcBorders/>
            <w:shd w:fill="CCEEFF" w:val="clear"/>
            <w:vAlign w:val="center"/>
          </w:tcPr>
          <w:p>
            <w:pPr>
              <w:pStyle w:val="TableContents"/>
              <w:bidi w:val="0"/>
              <w:spacing w:before="0" w:after="283"/>
              <w:jc w:val="left"/>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3" w:type="dxa"/>
            <w:tcBorders>
              <w:bottom w:val="double" w:sz="10" w:space="0" w:color="000000"/>
            </w:tcBorders>
            <w:shd w:fill="CCEEFF" w:val="clear"/>
            <w:tcMar>
              <w:bottom w:w="28" w:type="dxa"/>
            </w:tcMar>
            <w:vAlign w:val="center"/>
          </w:tcPr>
          <w:p>
            <w:pPr>
              <w:pStyle w:val="TableContents"/>
              <w:bidi w:val="0"/>
              <w:spacing w:before="0" w:after="283"/>
              <w:jc w:val="right"/>
              <w:rPr/>
            </w:pPr>
            <w:r>
              <w:rPr/>
              <w:t>(0.16</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double" w:sz="10" w:space="0" w:color="000000"/>
            </w:tcBorders>
            <w:shd w:fill="CCEEFF" w:val="clear"/>
            <w:tcMar>
              <w:bottom w:w="28" w:type="dxa"/>
            </w:tcMar>
            <w:vAlign w:val="center"/>
          </w:tcPr>
          <w:p>
            <w:pPr>
              <w:pStyle w:val="TableContents"/>
              <w:bidi w:val="0"/>
              <w:spacing w:before="0" w:after="283"/>
              <w:jc w:val="right"/>
              <w:rPr/>
            </w:pPr>
            <w:r>
              <w:rPr/>
              <w:t>(0.02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0" w:type="dxa"/>
            <w:tcBorders>
              <w:bottom w:val="double" w:sz="10" w:space="0" w:color="000000"/>
            </w:tcBorders>
            <w:shd w:fill="CCEEFF" w:val="clear"/>
            <w:tcMar>
              <w:bottom w:w="28" w:type="dxa"/>
            </w:tcM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9" w:type="dxa"/>
            <w:tcBorders>
              <w:bottom w:val="double" w:sz="10" w:space="0" w:color="000000"/>
            </w:tcBorders>
            <w:shd w:fill="CCEEFF" w:val="clear"/>
            <w:tcMar>
              <w:bottom w:w="28" w:type="dxa"/>
            </w:tcMar>
            <w:vAlign w:val="center"/>
          </w:tcPr>
          <w:p>
            <w:pPr>
              <w:pStyle w:val="TableContents"/>
              <w:bidi w:val="0"/>
              <w:spacing w:before="0" w:after="283"/>
              <w:jc w:val="right"/>
              <w:rPr/>
            </w:pPr>
            <w:r>
              <w:rPr/>
              <w:t>(0.05</w:t>
            </w:r>
          </w:p>
        </w:tc>
        <w:tc>
          <w:tcPr>
            <w:tcW w:w="48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no instruments were dilutive. Potential ordinary shares related to share-settled contingent liabilities, unvested Sponsor shares, and certain equity awards were excluded from diluted EPS as the applicable issuance or vesting conditions were not satisfied as of the reporting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liability-classified PIPE and Bridge Warrants and equity-classified warrants were evaluated under the treasury stock method. For the three and six months ended June 30, 2026, the average market price of the Company’s ordinary shares was below the exercise prices of all outstanding warrants; accordingly, all such instruments were anti-dilutive and therefore excluded from diluted EPS.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anti-dilutive instruments represented approximately 5,475,591 potential ordinary shares as of June 30, 2026. As a result, diluted net loss per share equals basic net loss per share for the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Segment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development-stage nuclear energy technology company focused on the research, development, and future commercialization of its SOLO micro-modular nuclear reactor. The chief operating decision maker (“</w:t>
      </w:r>
      <w:r>
        <w:rPr>
          <w:rFonts w:ascii="Times New Roman;Times;Serif" w:hAnsi="Times New Roman;Times;Serif"/>
          <w:b/>
          <w:i w:val="false"/>
          <w:caps w:val="false"/>
          <w:smallCaps w:val="false"/>
          <w:sz w:val="20"/>
        </w:rPr>
        <w:t>CODM</w:t>
      </w:r>
      <w:r>
        <w:rPr>
          <w:rFonts w:ascii="Times New Roman;Times;Serif" w:hAnsi="Times New Roman;Times;Serif"/>
          <w:b w:val="false"/>
          <w:i w:val="false"/>
          <w:caps w:val="false"/>
          <w:smallCaps w:val="false"/>
          <w:sz w:val="20"/>
        </w:rPr>
        <w:t>”), consisting of the Company’s chief executive officer and founding officers acting collectively, reviews financial information on a consolidated basis for purposes of evaluating performance and allocating resources. The CODM does not review discrete financial information by product, function, or geographic location. As a result, the Company has determined that it operates as a single operating segment, which is also its sole reportable segment. The measure of segment profit or loss and segment assets is the same as that presented in the interim condensed consolidated financial statements. The CODM primarily uses consolidated general and administrative expenses and development costs to assess operating performance and liquidity. Because the Company operates as a single reportable segment, no reconciliation of segment information to consolidated results is required. The Company has not generated revenue from external customers, as its SOLO product remains under development.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Company recognized no income tax benefit or expense on a pretax loss of $25,150, resulting in an effective tax rate of 0%. The Company maintained a full valuation allowance against its net deferred tax assets as of June 30, 2026, based on its determination that it is more likely than not that the Company’s net deferred tax assets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Subsequent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through August 14, 2026, the date the interim condensed consolidated financial statements were available to be issued, and determined that there have been no events that have occurred that would require adjustments to disclosures in the interim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provides information that Terra Innovatum Global N.V. (the “Company” or “Terra”) management believes is relevant to an assessment and understanding of the Company’s results of operations and financial condition. This discussion should be read together with the Company’s unaudited interim condensed consolidated financial statements as of and for the three and six months ended June 30, 2026 and 2025, and the related notes included elsewhere in this Form 10-Q. All amounts in thousands except share and per share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discussion may contain forward-looking statements based upon current expectations that involve risks and uncertainties. The Company’s actual results may differ materially from those anticipated in these forward-looking statements as a result of various factors, including those set forth under “Risk Factors” or in other parts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Presentation of Financial Information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with the quarterly report on Form 10-Q for the three and nine months ended September 30, 2025, we have elected to present all dollar amounts rounded to the nearest thousand dollars, unless otherwise indicated. In prior periods, including those presented in the Form S-4 Amendment No. 5 filed on September 11, 2025, financial information was presented in whole dollars. This change has been made to enhance the readability and consistency of financial disclosures. As a result, certain prior period amounts may not be directly comparable due to rounding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pioneering nuclear energy technology company developing the SOLO</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Micro-Modular Nuclear Reactor (“</w:t>
      </w:r>
      <w:r>
        <w:rPr>
          <w:rFonts w:ascii="Times New Roman;Times;Serif" w:hAnsi="Times New Roman;Times;Serif"/>
          <w:b/>
          <w:i w:val="false"/>
          <w:caps w:val="false"/>
          <w:smallCaps w:val="false"/>
          <w:sz w:val="20"/>
        </w:rPr>
        <w:t>SOLO</w:t>
      </w:r>
      <w:r>
        <w:rPr>
          <w:rFonts w:ascii="Times New Roman;Times;Serif" w:hAnsi="Times New Roman;Times;Serif"/>
          <w:b w:val="false"/>
          <w:i w:val="false"/>
          <w:caps w:val="false"/>
          <w:smallCaps w:val="false"/>
          <w:sz w:val="20"/>
        </w:rPr>
        <w:t>”), a breakthrough solution designed to address critical challenges in affordable, clean, decentralized energy production. Our reactor represents a significant technological and engineering advancement, offering a compact, safe, and economically compelling alternative to traditional energy generation and supply solutions. The SOLO reactor’s core innovation lies in its ability to generate 1 MWe of electricity baseload with a continuous operational cycle of up to 15 years, extendable to 45 years through refueling, with a fixed and competitive projected levelized cost of energy. Our strategic roadmap targets commercial deployment by 2028, with a clear focus on delivering a scalable, modular nuclear solution that can be deployed across diverse markets — from industrial and infrastructure to remote and off-grid applications. Key differentiators include a gas-cooled design, multiple safety shutdown mechanisms, safeguard-by-design, small footprint, and the ability to use commercially available Low Enriched Uranium (“</w:t>
      </w:r>
      <w:r>
        <w:rPr>
          <w:rFonts w:ascii="Times New Roman;Times;Serif" w:hAnsi="Times New Roman;Times;Serif"/>
          <w:b/>
          <w:i w:val="false"/>
          <w:caps w:val="false"/>
          <w:smallCaps w:val="false"/>
          <w:sz w:val="20"/>
        </w:rPr>
        <w:t>LEU</w:t>
      </w:r>
      <w:r>
        <w:rPr>
          <w:rFonts w:ascii="Times New Roman;Times;Serif" w:hAnsi="Times New Roman;Times;Serif"/>
          <w:b w:val="false"/>
          <w:i w:val="false"/>
          <w:caps w:val="false"/>
          <w:smallCaps w:val="false"/>
          <w:sz w:val="20"/>
        </w:rPr>
        <w:t>”), which significantly reduces regulatory and technological barriers typical in nuclear energy development. We have made substantial progress in de-risking our First-of-a-Kind (“</w:t>
      </w:r>
      <w:r>
        <w:rPr>
          <w:rFonts w:ascii="Times New Roman;Times;Serif" w:hAnsi="Times New Roman;Times;Serif"/>
          <w:b/>
          <w:i w:val="false"/>
          <w:caps w:val="false"/>
          <w:smallCaps w:val="false"/>
          <w:sz w:val="20"/>
        </w:rPr>
        <w:t>FOAK</w:t>
      </w:r>
      <w:r>
        <w:rPr>
          <w:rFonts w:ascii="Times New Roman;Times;Serif" w:hAnsi="Times New Roman;Times;Serif"/>
          <w:b w:val="false"/>
          <w:i w:val="false"/>
          <w:caps w:val="false"/>
          <w:smallCaps w:val="false"/>
          <w:sz w:val="20"/>
        </w:rPr>
        <w:t>”) reactor, including initiating regulatory engagement with the U.S. Nuclear Regulatory Commission (“</w:t>
      </w:r>
      <w:r>
        <w:rPr>
          <w:rFonts w:ascii="Times New Roman;Times;Serif" w:hAnsi="Times New Roman;Times;Serif"/>
          <w:b/>
          <w:i w:val="false"/>
          <w:caps w:val="false"/>
          <w:smallCaps w:val="false"/>
          <w:sz w:val="20"/>
        </w:rPr>
        <w:t>NRC</w:t>
      </w:r>
      <w:r>
        <w:rPr>
          <w:rFonts w:ascii="Times New Roman;Times;Serif" w:hAnsi="Times New Roman;Times;Serif"/>
          <w:b w:val="false"/>
          <w:i w:val="false"/>
          <w:caps w:val="false"/>
          <w:smallCaps w:val="false"/>
          <w:sz w:val="20"/>
        </w:rPr>
        <w:t>”), and establishing a robust supply chain strategy. We have completed the reactor design sufficiently to support component fabrication and NRC licensing, validated key technological components, and are targeting licensing and deployment of the FOAK reactor by 2028.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2026, we entered into a lease for office space in Lucca, Italy, with a noncancelable term commencing April 1, 2026 and expiring March 31, 2032. The lease provides for annual base rent of approximately $88 (€75), which is adjusted annually in accordance with the variation in the Italian consumer price index (“</w:t>
      </w:r>
      <w:r>
        <w:rPr>
          <w:rFonts w:ascii="Times New Roman;Times;Serif" w:hAnsi="Times New Roman;Times;Serif"/>
          <w:b/>
          <w:i w:val="false"/>
          <w:caps w:val="false"/>
          <w:smallCaps w:val="false"/>
          <w:sz w:val="20"/>
        </w:rPr>
        <w:t>ISTAT</w:t>
      </w:r>
      <w:r>
        <w:rPr>
          <w:rFonts w:ascii="Times New Roman;Times;Serif" w:hAnsi="Times New Roman;Times;Serif"/>
          <w:b w:val="false"/>
          <w:i w:val="false"/>
          <w:caps w:val="false"/>
          <w:smallCaps w:val="false"/>
          <w:sz w:val="20"/>
        </w:rPr>
        <w:t>”), as required under Italian commercial lease law. These index-based rent adjustments are variable lease payments and are recognized as expense in the period incurred; they are not included in the measurement of our lease liability or right-of-use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and 2025, we reported a net loss of $18,044 and $1,145,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we reported a net loss of $25,150 and $2,593, respectively. Net cash used in operating activities was $8,778 for the six months ended June 30, 2026 compared to net cash used of $1,371 for the six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and Trends Affecting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factors and trends may cause previously reported financial information not to be necessarily indicative of future operating results or future financial conditions: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Product Development Plan. </w:t>
      </w:r>
      <w:r>
        <w:rPr>
          <w:rFonts w:ascii="Times New Roman;Times;Serif" w:hAnsi="Times New Roman;Times;Serif"/>
          <w:b w:val="false"/>
          <w:i w:val="false"/>
          <w:caps w:val="false"/>
          <w:smallCaps w:val="false"/>
          <w:sz w:val="20"/>
        </w:rPr>
        <w:t>The commercial rollout of advanced nuclear reactors depends on securing regulatory approvals for its design, construction, and operation. Our regulatory engagement plan was submitted to the NRC, and the NRC is currently reviewing a number of safety related topics related to SOLO. Although our team has significant prior experience working with the NRC, we cannot control NRC’s review process and review periods may take longer than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Funding and Investment</w:t>
      </w:r>
      <w:r>
        <w:rPr>
          <w:rFonts w:ascii="Times New Roman;Times;Serif" w:hAnsi="Times New Roman;Times;Serif"/>
          <w:b w:val="false"/>
          <w:i w:val="false"/>
          <w:caps w:val="false"/>
          <w:smallCaps w:val="false"/>
          <w:sz w:val="20"/>
        </w:rPr>
        <w:t>. We have limited financial resources. There can be no assurance that sufficient funding will be available to us to fund our operating expenses and to further develop our business. We anticipate that we will likely need to raise additional capital to fund our operations while we implement and execute our business plan. Our continued solvency is dependent upon our ability to obtain additional working capital to complete our reactor development, to successfully market our reactors and to achieve commerciality for our reactors. We have encountered and expect to continue to encounter risks and uncertainties frequently experienced by companies in rapidly evolving industries. Accordingly, we may be unable to prepare accurate internal financial forecasts or replace anticipated revenue that we do not receive as a result of delays, changed circumstances, or changed market conditions arising from these factors, and our results of operations in future reporting periods may be below the expectations of investors or analysts.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Macroeconomic Conditions and Global Market Dynamics</w:t>
      </w:r>
      <w:r>
        <w:rPr>
          <w:rFonts w:ascii="Times New Roman;Times;Serif" w:hAnsi="Times New Roman;Times;Serif"/>
          <w:b w:val="false"/>
          <w:i w:val="false"/>
          <w:caps w:val="false"/>
          <w:smallCaps w:val="false"/>
          <w:sz w:val="20"/>
        </w:rPr>
        <w:t>. Our business operates in a complex global environment with multiple interconnected economic factors that can significantly impact our technological development, regulatory trajectory, and potential market penetration. As a nuclear technology company with an international human capital strategy and multinational supply chain, we are sensitive to macroeconomic trends and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Global Supply Chain Dynamics.</w:t>
      </w:r>
      <w:r>
        <w:rPr>
          <w:rFonts w:ascii="Times New Roman;Times;Serif" w:hAnsi="Times New Roman;Times;Serif"/>
          <w:b w:val="false"/>
          <w:i w:val="false"/>
          <w:caps w:val="false"/>
          <w:smallCaps w:val="false"/>
          <w:sz w:val="20"/>
        </w:rPr>
        <w:t xml:space="preserve"> We utilize a strategic outsourced manufacturing approach for the SOLO project, leveraging international human resources and implementing an international manufacturing model for our FOAK reactor. This strategy exposes us to global supply chain vulnerabilities, including potential impacts from geopolitical tensions, trade agreements, tariffs, and manufacturing disruptions.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partnering with specialized suppliers certified in nuclear engineering and precision manufacturing, we aim to avoid significant capital investments in manufacturing facilities and concentrate our resources on core competencies such as reactor design, technological innovation, and regulatory compliance. Our procurement strategy involves direct engagement with multiple suppliers for critical components, ensuring supply chain reliability and maintaining the flexibility to adapt our technology to evolving market and regulatory requirements.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Inflation and Cost Pressures.</w:t>
      </w:r>
      <w:r>
        <w:rPr>
          <w:rFonts w:ascii="Times New Roman;Times;Serif" w:hAnsi="Times New Roman;Times;Serif"/>
          <w:b w:val="false"/>
          <w:i w:val="false"/>
          <w:caps w:val="false"/>
          <w:smallCaps w:val="false"/>
          <w:sz w:val="20"/>
        </w:rPr>
        <w:t xml:space="preserve"> Inflationary trends represent a risk to our development trajectory. Escalating costs in specialized manufacturing, regulatory compliance, technical talent acquisition, and raw material procurement could potentially erode our projected economic advantages.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Energy Market Evolution.</w:t>
      </w:r>
      <w:r>
        <w:rPr>
          <w:rFonts w:ascii="Times New Roman;Times;Serif" w:hAnsi="Times New Roman;Times;Serif"/>
          <w:b w:val="false"/>
          <w:i w:val="false"/>
          <w:caps w:val="false"/>
          <w:smallCaps w:val="false"/>
          <w:sz w:val="20"/>
        </w:rPr>
        <w:t xml:space="preserve"> The global energy transition, driven by decarbonization efforts and increasing demand for reliable low-carbon baseload power, creates both opportunities and challenges. The explosive growth in data center energy requirements, particularly with artificial intelligence (“</w:t>
      </w:r>
      <w:r>
        <w:rPr>
          <w:rFonts w:ascii="Times New Roman;Times;Serif" w:hAnsi="Times New Roman;Times;Serif"/>
          <w:b/>
          <w:i w:val="false"/>
          <w:caps w:val="false"/>
          <w:smallCaps w:val="false"/>
          <w:sz w:val="20"/>
        </w:rPr>
        <w:t>AI</w:t>
      </w:r>
      <w:r>
        <w:rPr>
          <w:rFonts w:ascii="Times New Roman;Times;Serif" w:hAnsi="Times New Roman;Times;Serif"/>
          <w:b w:val="false"/>
          <w:i w:val="false"/>
          <w:caps w:val="false"/>
          <w:smallCaps w:val="false"/>
          <w:sz w:val="20"/>
        </w:rPr>
        <w:t>”) and computational infrastructure expansion, presents a promising market segment. However, economic growth cycles, shifts in energy policy, and potential slowdowns in technological adoption could materially affect our market positioning and revenue projections.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mitigate the AI-driven market concentration risks, we have strategically designed SOLO with multi-sector versatility, targeting a diverse range of energy-intensive industries including industrial manufacturing (cement, steel, mining, paper production), critical infrastructure services (airports, ports, logistics hubs), agricultural and food processing applications (greenhouses, vertical farming, food processing plants), energy storage (ammonia production, pink hydrogen) and essential utility services like desalination and water treatment. This intentional market diversification allows us to create resilience against sector-specific economic fluctuations, leveraging SOLO’s ability to provide both electricity and thermal energy across multiple high-demand sectors, including emerging opportunities in medical radioisotope production.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Regulatory and Geopolitical Landscape.</w:t>
      </w:r>
      <w:r>
        <w:rPr>
          <w:rFonts w:ascii="Times New Roman;Times;Serif" w:hAnsi="Times New Roman;Times;Serif"/>
          <w:b w:val="false"/>
          <w:i w:val="false"/>
          <w:caps w:val="false"/>
          <w:smallCaps w:val="false"/>
          <w:sz w:val="20"/>
        </w:rPr>
        <w:t xml:space="preserve"> Our multinational operational model requires navigating complex regulatory environments across different jurisdictions. Changes in nuclear energy policies and geopolitical tensions could significantly impact our potential market access. The evolving global stance on nuclear energy, particularly small modular reactors, introduces both strategic opportunities and potential regulatory constraints.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Technological and Labor Market Dynamics.</w:t>
      </w:r>
      <w:r>
        <w:rPr>
          <w:rFonts w:ascii="Times New Roman;Times;Serif" w:hAnsi="Times New Roman;Times;Serif"/>
          <w:b w:val="false"/>
          <w:i w:val="false"/>
          <w:caps w:val="false"/>
          <w:smallCaps w:val="false"/>
          <w:sz w:val="20"/>
        </w:rPr>
        <w:t xml:space="preserve"> The specialized nature of our technology demands access to a global pool of highly skilled technical talent. Potential labor market shifts, competition for specialized nuclear engineering expertise, and varying international education and training standards could influence our human resource strategy and technology development velocity.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Economic Uncertainty Factors.</w:t>
      </w:r>
      <w:r>
        <w:rPr>
          <w:rFonts w:ascii="Times New Roman;Times;Serif" w:hAnsi="Times New Roman;Times;Serif"/>
          <w:b w:val="false"/>
          <w:i w:val="false"/>
          <w:caps w:val="false"/>
          <w:smallCaps w:val="false"/>
          <w:sz w:val="20"/>
        </w:rPr>
        <w:t xml:space="preserve"> Macroeconomic uncertainties, including potential recessionary periods, fluctuations in investment trends in energy related technology, and broader economic growth patterns, could affect our funding capabilities, customer acquisition strategies, and overall business development trajectory.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and Smaller Reporting Company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Jumpstart Our Business Startups Act (“</w:t>
      </w:r>
      <w:r>
        <w:rPr>
          <w:rFonts w:ascii="Times New Roman;Times;Serif" w:hAnsi="Times New Roman;Times;Serif"/>
          <w:b/>
          <w:i w:val="false"/>
          <w:caps w:val="false"/>
          <w:smallCaps w:val="false"/>
          <w:sz w:val="20"/>
        </w:rPr>
        <w:t>JOBS Act</w:t>
      </w:r>
      <w:r>
        <w:rPr>
          <w:rFonts w:ascii="Times New Roman;Times;Serif" w:hAnsi="Times New Roman;Times;Serif"/>
          <w:b w:val="false"/>
          <w:i w:val="false"/>
          <w:caps w:val="false"/>
          <w:smallCaps w:val="false"/>
          <w:sz w:val="20"/>
        </w:rPr>
        <w: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Until we are no longer considered to be an emerging growth company, we have elected not to opt out of such extended transition period which means that when an accounting standard is issued or revised and it has different application dates for public or private companies, as an emerging growth company we can adopt the new or revised standard at the time private companies adopt the new or revised standard.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Securities Exchange Act of 1934.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ordinary shares held by non-affiliates is $250,000 or more measured on the last business day of our second fiscal quarter, or our annual revenues are less than $100,000 during the most recently completed fiscal year and our voting and non-voting ordinary shares held by non-affiliates is $700,000 or more measured on the last business day of our second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development-stage nuclear energy technology company focused on the research, development, and future commercialization of our SOLO micro-modular nuclear reactor. Our chief operating decision maker (“</w:t>
      </w:r>
      <w:r>
        <w:rPr>
          <w:rFonts w:ascii="Times New Roman;Times;Serif" w:hAnsi="Times New Roman;Times;Serif"/>
          <w:b/>
          <w:i w:val="false"/>
          <w:caps w:val="false"/>
          <w:smallCaps w:val="false"/>
          <w:sz w:val="20"/>
        </w:rPr>
        <w:t>CODM</w:t>
      </w:r>
      <w:r>
        <w:rPr>
          <w:rFonts w:ascii="Times New Roman;Times;Serif" w:hAnsi="Times New Roman;Times;Serif"/>
          <w:b w:val="false"/>
          <w:i w:val="false"/>
          <w:caps w:val="false"/>
          <w:smallCaps w:val="false"/>
          <w:sz w:val="20"/>
        </w:rPr>
        <w:t>”), consisting of our chief executive officer and founding officers acting collectively, reviews financial information on a consolidated basis for purposes of evaluating performance and allocating resources. The CODM does not review discrete financial information by product, function, or geographic location. As a result, we have determined that we operate as a single operating segment, which is also our sole reportable segment. The measure of segment profit or loss and segment assets is the same as that presented in the interim condensed consolidated financial statements. The CODM primarily uses consolidated general and administrative expenses and development costs to assess operating performance and liquidity. We have not generated revenue from external customers, as our SOLO product remains under development.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period-to-period comparisons of our results of operations have been prepared using the historical periods included in our financial statements. The following discussion should be read in conjunction with the financial statements and related notes included elsewhere in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any revenue from product sales and do not expect to generate any revenue from the sale of products for the foreseeable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consist primarily of advisory fees, legal fees, audit, accounting, professional services fees, insurance, Board of Director compensation, software costs, transportation, food and lodging, conference and seminar registration fees, advertising, rental, filing fees, employee benefits, consultancy fees, representation expenses, commissions, and other miscellaneous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costs represent costs incurred to design and engineer SOLO. These costs include technical consulting and personnel-related expenses (such as salaries, employee benefits, and bonuses), software and computing costs, hardware and experimental supplies, and fees for outside engineering, analytical, and consulting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income (expenses) primarily consists of foreign currency transaction gains and losses, as well as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share settled contingent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Share-Settled Contingent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we issued 8,000 convertible preferred shares (of which 4,000 converted in 2025, with 4,000 remaining unvested) to former Terra Innovatum Global Srl. quotaholders that are mandatorily convertible into our ordinary shares upon the achievement of specified market-based and regulatory milestones (the "</w:t>
      </w:r>
      <w:r>
        <w:rPr>
          <w:rFonts w:ascii="Times New Roman;Times;Serif" w:hAnsi="Times New Roman;Times;Serif"/>
          <w:b/>
          <w:i w:val="false"/>
          <w:caps w:val="false"/>
          <w:smallCaps w:val="false"/>
          <w:sz w:val="20"/>
        </w:rPr>
        <w:t>Convertible Preferred Shares</w:t>
      </w:r>
      <w:r>
        <w:rPr>
          <w:rFonts w:ascii="Times New Roman;Times;Serif" w:hAnsi="Times New Roman;Times;Serif"/>
          <w:b w:val="false"/>
          <w:i w:val="false"/>
          <w:caps w:val="false"/>
          <w:smallCaps w:val="false"/>
          <w:sz w:val="20"/>
        </w:rPr>
        <w:t>"). Together with Sponsor ordinary shares subject to similar vesting conditions, the Convertible Preferred Shares will be settled through the issuance of a variable number of our ordinary shares (together, the "</w:t>
      </w:r>
      <w:r>
        <w:rPr>
          <w:rFonts w:ascii="Times New Roman;Times;Serif" w:hAnsi="Times New Roman;Times;Serif"/>
          <w:b/>
          <w:i w:val="false"/>
          <w:caps w:val="false"/>
          <w:smallCaps w:val="false"/>
          <w:sz w:val="20"/>
        </w:rPr>
        <w:t>Share-Settled Contingent Liability</w:t>
      </w:r>
      <w:r>
        <w:rPr>
          <w:rFonts w:ascii="Times New Roman;Times;Serif" w:hAnsi="Times New Roman;Times;Serif"/>
          <w:b w:val="false"/>
          <w:i w:val="false"/>
          <w:caps w:val="false"/>
          <w:smallCaps w:val="false"/>
          <w:sz w:val="20"/>
        </w:rPr>
        <w:t>"). Because these instruments settle in a variable number of shares and are not indexed solely to our stock price, they do not qualify for equity classification under ASC 815-40 and ASC 480-10 and are instead recorded as a liability. We remeasure the Share-Settled Contingent Liability to fair value at each reporting date using a Monte Carlo simulation model until the underlying milestones are achieved or expire, with changes recognized in our interim condensed consolidated statements of operations. Because this valuation is highly sensitive to our share price, expected volatility, and the probability-weighted timing of milestone achievement, period-to-period changes can be large relative to our other results of operations and are non-cash in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warrant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 warrant liabilities consists of the change in fair value of certain PIPE and Bridge Loan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(or benefit) for income taxes consists of the expense or income related to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Three Months Ended June 30, 2026 Compared to the Three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for the periods indicated and the changes between periods: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60"/>
        <w:gridCol w:w="216"/>
        <w:gridCol w:w="1169"/>
        <w:gridCol w:w="146"/>
        <w:gridCol w:w="92"/>
        <w:gridCol w:w="216"/>
        <w:gridCol w:w="984"/>
        <w:gridCol w:w="95"/>
        <w:gridCol w:w="60"/>
        <w:gridCol w:w="176"/>
        <w:gridCol w:w="954"/>
        <w:gridCol w:w="95"/>
        <w:gridCol w:w="60"/>
        <w:gridCol w:w="107"/>
        <w:gridCol w:w="1143"/>
        <w:gridCol w:w="337"/>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337"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6"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Variance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Variance</w:t>
            </w:r>
          </w:p>
        </w:tc>
        <w:tc>
          <w:tcPr>
            <w:tcW w:w="337"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4,598</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2,104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954" w:type="dxa"/>
            <w:tcBorders/>
            <w:shd w:fill="CCEEFF" w:val="clear"/>
            <w:vAlign w:val="center"/>
          </w:tcPr>
          <w:p>
            <w:pPr>
              <w:pStyle w:val="TableContents"/>
              <w:bidi w:val="0"/>
              <w:spacing w:before="0" w:after="283"/>
              <w:jc w:val="right"/>
              <w:rPr/>
            </w:pPr>
            <w:r>
              <w:rPr/>
              <w:t>2,494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119</w:t>
            </w:r>
          </w:p>
        </w:tc>
        <w:tc>
          <w:tcPr>
            <w:tcW w:w="337"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left"/>
              <w:rPr/>
            </w:pPr>
            <w:r>
              <w:rPr/>
              <w:t>Development costs</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1,481</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FFFFFF" w:val="clear"/>
            <w:tcMar>
              <w:bottom w:w="28" w:type="dxa"/>
            </w:tcMar>
            <w:vAlign w:val="center"/>
          </w:tcPr>
          <w:p>
            <w:pPr>
              <w:pStyle w:val="TableContents"/>
              <w:bidi w:val="0"/>
              <w:spacing w:before="0" w:after="283"/>
              <w:jc w:val="right"/>
              <w:rPr/>
            </w:pPr>
            <w:r>
              <w:rPr/>
              <w:t>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pPr>
            <w:r>
              <w:rPr/>
              <w:t>1,425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2,545</w:t>
            </w:r>
          </w:p>
        </w:tc>
        <w:tc>
          <w:tcPr>
            <w:tcW w:w="337" w:type="dxa"/>
            <w:tcBorders/>
            <w:shd w:fill="FFFFFF" w:val="clear"/>
            <w:vAlign w:val="center"/>
          </w:tcPr>
          <w:p>
            <w:pPr>
              <w:pStyle w:val="TableContents"/>
              <w:bidi w:val="0"/>
              <w:spacing w:before="0" w:after="283"/>
              <w:jc w:val="left"/>
              <w:rPr/>
            </w:pPr>
            <w:r>
              <w:rPr/>
              <w:t>%</w:t>
            </w:r>
          </w:p>
        </w:tc>
      </w:tr>
      <w:tr>
        <w:trPr/>
        <w:tc>
          <w:tcPr>
            <w:tcW w:w="4295"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6,079</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181</w:t>
            </w:r>
          </w:p>
        </w:tc>
        <w:tc>
          <w:tcPr>
            <w:tcW w:w="337" w:type="dxa"/>
            <w:tcBorders/>
            <w:shd w:fill="CCEEFF" w:val="clear"/>
            <w:vAlign w:val="center"/>
          </w:tcPr>
          <w:p>
            <w:pPr>
              <w:pStyle w:val="TableContents"/>
              <w:bidi w:val="0"/>
              <w:spacing w:before="0" w:after="283"/>
              <w:jc w:val="left"/>
              <w:rPr>
                <w:b/>
              </w:rPr>
            </w:pPr>
            <w:r>
              <w:rPr>
                <w:b/>
              </w:rPr>
              <w:t>%</w:t>
            </w:r>
          </w:p>
        </w:tc>
      </w:tr>
      <w:tr>
        <w:trPr/>
        <w:tc>
          <w:tcPr>
            <w:tcW w:w="4295"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(6,079</w:t>
            </w:r>
          </w:p>
        </w:tc>
        <w:tc>
          <w:tcPr>
            <w:tcW w:w="146" w:type="dxa"/>
            <w:tcBorders/>
            <w:shd w:fill="FFFFFF" w:val="clear"/>
            <w:vAlign w:val="center"/>
          </w:tcPr>
          <w:p>
            <w:pPr>
              <w:pStyle w:val="TableContents"/>
              <w:bidi w:val="0"/>
              <w:spacing w:before="0" w:after="283"/>
              <w:jc w:val="left"/>
              <w:rPr>
                <w:b/>
              </w:rPr>
            </w:pPr>
            <w:r>
              <w:rPr>
                <w:b/>
              </w:rPr>
              <w:t>)</w:t>
            </w:r>
          </w:p>
        </w:tc>
        <w:tc>
          <w:tcPr>
            <w:tcW w:w="92"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(2,160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3,919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181</w:t>
            </w:r>
          </w:p>
        </w:tc>
        <w:tc>
          <w:tcPr>
            <w:tcW w:w="337" w:type="dxa"/>
            <w:tcBorders/>
            <w:shd w:fill="FFFFFF" w:val="clear"/>
            <w:vAlign w:val="center"/>
          </w:tcPr>
          <w:p>
            <w:pPr>
              <w:pStyle w:val="TableContents"/>
              <w:bidi w:val="0"/>
              <w:spacing w:before="0" w:after="283"/>
              <w:jc w:val="left"/>
              <w:rPr>
                <w:b/>
              </w:rPr>
            </w:pPr>
            <w:r>
              <w:rPr>
                <w:b/>
              </w:rPr>
              <w:t>%</w:t>
            </w:r>
          </w:p>
        </w:tc>
      </w:tr>
      <w:tr>
        <w:trPr/>
        <w:tc>
          <w:tcPr>
            <w:tcW w:w="4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337"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Other income (expenses)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1,190</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(245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1,435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(586</w:t>
            </w:r>
          </w:p>
        </w:tc>
        <w:tc>
          <w:tcPr>
            <w:tcW w:w="337"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left"/>
              <w:rPr/>
            </w:pPr>
            <w:r>
              <w:rPr/>
              <w:t>Change in fair value - share settled contingent liability</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(12,492</w:t>
            </w:r>
          </w:p>
        </w:tc>
        <w:tc>
          <w:tcPr>
            <w:tcW w:w="146"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(12,492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NM</w:t>
            </w:r>
          </w:p>
        </w:tc>
        <w:tc>
          <w:tcPr>
            <w:tcW w:w="337"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Change in fair value - warrant liabilities</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(663</w:t>
            </w:r>
          </w:p>
        </w:tc>
        <w:tc>
          <w:tcPr>
            <w:tcW w:w="146"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pPr>
            <w:r>
              <w:rPr/>
              <w:t>1,260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pPr>
            <w:r>
              <w:rPr/>
              <w:t>(1,923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(153</w:t>
            </w:r>
          </w:p>
        </w:tc>
        <w:tc>
          <w:tcPr>
            <w:tcW w:w="337"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left"/>
              <w:rPr>
                <w:b/>
              </w:rPr>
            </w:pPr>
            <w:r>
              <w:rPr>
                <w:b/>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(11,965</w:t>
            </w:r>
          </w:p>
        </w:tc>
        <w:tc>
          <w:tcPr>
            <w:tcW w:w="146" w:type="dxa"/>
            <w:tcBorders/>
            <w:shd w:fill="FFFFFF" w:val="clear"/>
            <w:vAlign w:val="center"/>
          </w:tcPr>
          <w:p>
            <w:pPr>
              <w:pStyle w:val="TableContents"/>
              <w:bidi w:val="0"/>
              <w:spacing w:before="0" w:after="283"/>
              <w:jc w:val="left"/>
              <w:rPr>
                <w:b/>
              </w:rPr>
            </w:pPr>
            <w:r>
              <w:rPr>
                <w:b/>
              </w:rPr>
              <w:t>)</w:t>
            </w:r>
          </w:p>
        </w:tc>
        <w:tc>
          <w:tcPr>
            <w:tcW w:w="92"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(12,980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(1,279</w:t>
            </w:r>
          </w:p>
        </w:tc>
        <w:tc>
          <w:tcPr>
            <w:tcW w:w="337" w:type="dxa"/>
            <w:tcBorders/>
            <w:shd w:fill="FFFFFF" w:val="clear"/>
            <w:vAlign w:val="center"/>
          </w:tcPr>
          <w:p>
            <w:pPr>
              <w:pStyle w:val="TableContents"/>
              <w:bidi w:val="0"/>
              <w:spacing w:before="0" w:after="283"/>
              <w:jc w:val="left"/>
              <w:rPr>
                <w:b/>
              </w:rPr>
            </w:pPr>
            <w:r>
              <w:rPr>
                <w:b/>
              </w:rPr>
              <w:t>)%</w:t>
            </w:r>
          </w:p>
        </w:tc>
      </w:tr>
      <w:tr>
        <w:trPr/>
        <w:tc>
          <w:tcPr>
            <w:tcW w:w="4295" w:type="dxa"/>
            <w:tcBorders/>
            <w:shd w:fill="CCEEFF" w:val="clear"/>
            <w:vAlign w:val="center"/>
          </w:tcPr>
          <w:p>
            <w:pPr>
              <w:pStyle w:val="TableContents"/>
              <w:bidi w:val="0"/>
              <w:spacing w:before="0" w:after="283"/>
              <w:jc w:val="left"/>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(18,044</w:t>
            </w:r>
          </w:p>
        </w:tc>
        <w:tc>
          <w:tcPr>
            <w:tcW w:w="146" w:type="dxa"/>
            <w:tcBorders/>
            <w:shd w:fill="CCEEFF" w:val="clear"/>
            <w:vAlign w:val="center"/>
          </w:tcPr>
          <w:p>
            <w:pPr>
              <w:pStyle w:val="TableContents"/>
              <w:bidi w:val="0"/>
              <w:spacing w:before="0" w:after="283"/>
              <w:jc w:val="left"/>
              <w:rPr>
                <w:b/>
              </w:rPr>
            </w:pPr>
            <w:r>
              <w:rPr>
                <w:b/>
              </w:rPr>
              <w:t>)</w:t>
            </w:r>
          </w:p>
        </w:tc>
        <w:tc>
          <w:tcPr>
            <w:tcW w:w="92"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(16,899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(1,476</w:t>
            </w:r>
          </w:p>
        </w:tc>
        <w:tc>
          <w:tcPr>
            <w:tcW w:w="337" w:type="dxa"/>
            <w:tcBorders/>
            <w:shd w:fill="CCEEFF" w:val="clear"/>
            <w:vAlign w:val="center"/>
          </w:tcPr>
          <w:p>
            <w:pPr>
              <w:pStyle w:val="TableContents"/>
              <w:bidi w:val="0"/>
              <w:spacing w:before="0" w:after="283"/>
              <w:jc w:val="left"/>
              <w:rPr>
                <w:b/>
              </w:rPr>
            </w:pPr>
            <w:r>
              <w:rPr>
                <w:b/>
              </w:rPr>
              <w:t>)%</w:t>
            </w:r>
          </w:p>
        </w:tc>
      </w:tr>
      <w:tr>
        <w:trPr/>
        <w:tc>
          <w:tcPr>
            <w:tcW w:w="4295"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0</w:t>
            </w:r>
          </w:p>
        </w:tc>
        <w:tc>
          <w:tcPr>
            <w:tcW w:w="337" w:type="dxa"/>
            <w:tcBorders/>
            <w:shd w:fill="FFFFFF" w:val="clear"/>
            <w:vAlign w:val="center"/>
          </w:tcPr>
          <w:p>
            <w:pPr>
              <w:pStyle w:val="TableContents"/>
              <w:bidi w:val="0"/>
              <w:spacing w:before="0" w:after="283"/>
              <w:jc w:val="left"/>
              <w:rPr/>
            </w:pPr>
            <w:r>
              <w:rPr/>
              <w:t>%</w:t>
            </w:r>
          </w:p>
        </w:tc>
      </w:tr>
      <w:tr>
        <w:trPr/>
        <w:tc>
          <w:tcPr>
            <w:tcW w:w="429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(18,044</w:t>
            </w:r>
          </w:p>
        </w:tc>
        <w:tc>
          <w:tcPr>
            <w:tcW w:w="146" w:type="dxa"/>
            <w:tcBorders/>
            <w:shd w:fill="CCEEFF" w:val="clear"/>
            <w:vAlign w:val="center"/>
          </w:tcPr>
          <w:p>
            <w:pPr>
              <w:pStyle w:val="TableContents"/>
              <w:bidi w:val="0"/>
              <w:spacing w:before="0" w:after="283"/>
              <w:jc w:val="left"/>
              <w:rPr>
                <w:b/>
              </w:rPr>
            </w:pPr>
            <w:r>
              <w:rPr>
                <w:b/>
              </w:rPr>
              <w:t>)</w:t>
            </w:r>
          </w:p>
        </w:tc>
        <w:tc>
          <w:tcPr>
            <w:tcW w:w="92"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8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5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(16,899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(1,476</w:t>
            </w:r>
          </w:p>
        </w:tc>
        <w:tc>
          <w:tcPr>
            <w:tcW w:w="337"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NM – not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$2,494 for the three months ended June 30, 2026 compared to the same period in 2025 primarily due to increases of (i) $1,707 for consulting/advisory fees paid to non-employee service providers, (ii) $652 for insurance, (iii) $436 for Board of Director compensation, (iv) $85 for transportation, (v) $23 for rental, (vi) $22 for office rent, and (vii) $21 for filing fees. These increases were offset by decreases of (i) $323 for professional fees, (ii) $89 for software expenses, (iii) $20 in contractor costs, (iv) $20 in certificates and procedures, and (v) $17 in consultancy. The remaining $17 net increase is primarily driven by food and lodging, computer equipment depreciation, conference and seminary registration fees, book subscriptions, and other miscellaneous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additional general and administrative expenses as a result of operating as a public company, including expenses related to compliance with the rules and regulations of the SEC and Nasdaq Stock Market, additional insurance costs, investor relations activities and other administrative and professional services. As a result, we expect general and administrative expenses to increase in absolute dollars in future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costs increased by $1,425 for the three months ended June 30, 2026 compared to the same period in 2025 primarily due to increases of (i) $1,033 in technical consultancy fees, (ii) $179 in other payroll and benefits, (iii) $157 in salaries and wages, and (iv) $79 in employee income tax withholding. The remaining $23 net decrease is primarily driven by transportation and travel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$1,190 for the three months ended June 30, 2026, which primarily consists of $646 of net foreign currency gains and $544 of interest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was $245 for the three months ended June 30, 2025, which primarily consists of $189 of interest expense and $56 of net foreign currency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share settled contingent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 $12,492 unrealized loss in fair value attributable to the change in fair value of the share settled contingent liability for the three months ended June 30, 2026. There was no share settled contingent liability during the same period in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warrant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$663 unrealized loss in fair value attributable to warrant liabilities for the three months ended June 30, 2026 consists of the change in fair value of certain PIPE and Bridge Loan warrants. There was $1,260 unrealized gain in fair value attributable to certain Bridge Loan warrant liabilities during the same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was $0 for the three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three months ended June 30, 2026 was $18,044 compared to $1,145 for the three months ended June 30, 2025. The $16,899 net change was primarily due to the $12,492 change in fair value of the shared settled contingent liability, $3,919 increase in operating expenses and $1,923 change in fair value of warrant liabilities. These increases were partially offset by increases of $1,435 in other income (expenses),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Six Months Ended June 30, 2026 Compared to the Six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for the periods indicated and the changes between periods: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78"/>
        <w:gridCol w:w="60"/>
        <w:gridCol w:w="202"/>
        <w:gridCol w:w="1092"/>
        <w:gridCol w:w="137"/>
        <w:gridCol w:w="86"/>
        <w:gridCol w:w="202"/>
        <w:gridCol w:w="918"/>
        <w:gridCol w:w="95"/>
        <w:gridCol w:w="60"/>
        <w:gridCol w:w="176"/>
        <w:gridCol w:w="954"/>
        <w:gridCol w:w="95"/>
        <w:gridCol w:w="60"/>
        <w:gridCol w:w="107"/>
        <w:gridCol w:w="1143"/>
        <w:gridCol w:w="340"/>
      </w:tblGrid>
      <w:tr>
        <w:trPr/>
        <w:tc>
          <w:tcPr>
            <w:tcW w:w="44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340" w:type="dxa"/>
            <w:tcBorders/>
            <w:vAlign w:val="center"/>
          </w:tcPr>
          <w:p>
            <w:pPr>
              <w:pStyle w:val="TableContents"/>
              <w:bidi w:val="0"/>
              <w:spacing w:before="0" w:after="283"/>
              <w:jc w:val="left"/>
              <w:rPr/>
            </w:pPr>
            <w:r>
              <w:rPr/>
              <w:t> </w:t>
            </w:r>
          </w:p>
        </w:tc>
      </w:tr>
      <w:tr>
        <w:trPr/>
        <w:tc>
          <w:tcPr>
            <w:tcW w:w="44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7"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Variance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Variance</w:t>
            </w:r>
          </w:p>
        </w:tc>
        <w:tc>
          <w:tcPr>
            <w:tcW w:w="340" w:type="dxa"/>
            <w:tcBorders/>
            <w:vAlign w:val="center"/>
          </w:tcPr>
          <w:p>
            <w:pPr>
              <w:pStyle w:val="TableContents"/>
              <w:bidi w:val="0"/>
              <w:spacing w:before="0" w:after="283"/>
              <w:jc w:val="left"/>
              <w:rPr/>
            </w:pPr>
            <w:r>
              <w:rPr/>
              <w:t> </w:t>
            </w:r>
          </w:p>
        </w:tc>
      </w:tr>
      <w:tr>
        <w:trPr/>
        <w:tc>
          <w:tcPr>
            <w:tcW w:w="4478"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r>
      <w:tr>
        <w:trPr/>
        <w:tc>
          <w:tcPr>
            <w:tcW w:w="4478"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092" w:type="dxa"/>
            <w:tcBorders/>
            <w:shd w:fill="CCEEFF" w:val="clear"/>
            <w:vAlign w:val="center"/>
          </w:tcPr>
          <w:p>
            <w:pPr>
              <w:pStyle w:val="TableContents"/>
              <w:bidi w:val="0"/>
              <w:spacing w:before="0" w:after="283"/>
              <w:jc w:val="right"/>
              <w:rPr/>
            </w:pPr>
            <w:r>
              <w:rPr/>
              <w:t>9,994</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3,520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954" w:type="dxa"/>
            <w:tcBorders/>
            <w:shd w:fill="CCEEFF" w:val="clear"/>
            <w:vAlign w:val="center"/>
          </w:tcPr>
          <w:p>
            <w:pPr>
              <w:pStyle w:val="TableContents"/>
              <w:bidi w:val="0"/>
              <w:spacing w:before="0" w:after="283"/>
              <w:jc w:val="right"/>
              <w:rPr/>
            </w:pPr>
            <w:r>
              <w:rPr/>
              <w:t>6,474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184</w:t>
            </w:r>
          </w:p>
        </w:tc>
        <w:tc>
          <w:tcPr>
            <w:tcW w:w="340" w:type="dxa"/>
            <w:tcBorders/>
            <w:shd w:fill="CCEEFF" w:val="clear"/>
            <w:vAlign w:val="center"/>
          </w:tcPr>
          <w:p>
            <w:pPr>
              <w:pStyle w:val="TableContents"/>
              <w:bidi w:val="0"/>
              <w:spacing w:before="0" w:after="283"/>
              <w:jc w:val="left"/>
              <w:rPr/>
            </w:pPr>
            <w:r>
              <w:rPr/>
              <w:t>%</w:t>
            </w:r>
          </w:p>
        </w:tc>
      </w:tr>
      <w:tr>
        <w:trPr/>
        <w:tc>
          <w:tcPr>
            <w:tcW w:w="4478" w:type="dxa"/>
            <w:tcBorders/>
            <w:shd w:fill="FFFFFF" w:val="clear"/>
            <w:vAlign w:val="center"/>
          </w:tcPr>
          <w:p>
            <w:pPr>
              <w:pStyle w:val="TableContents"/>
              <w:bidi w:val="0"/>
              <w:spacing w:before="0" w:after="283"/>
              <w:jc w:val="left"/>
              <w:rPr/>
            </w:pPr>
            <w:r>
              <w:rPr/>
              <w:t>Development costs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FFFFFF" w:val="clear"/>
            <w:tcMar>
              <w:bottom w:w="28" w:type="dxa"/>
            </w:tcMar>
            <w:vAlign w:val="center"/>
          </w:tcPr>
          <w:p>
            <w:pPr>
              <w:pStyle w:val="TableContents"/>
              <w:bidi w:val="0"/>
              <w:spacing w:before="0" w:after="283"/>
              <w:jc w:val="right"/>
              <w:rPr/>
            </w:pPr>
            <w:r>
              <w:rPr/>
              <w:t>2,719</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pPr>
            <w:r>
              <w:rPr/>
              <w:t>2,630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2,955</w:t>
            </w:r>
          </w:p>
        </w:tc>
        <w:tc>
          <w:tcPr>
            <w:tcW w:w="340" w:type="dxa"/>
            <w:tcBorders/>
            <w:shd w:fill="FFFFFF" w:val="clear"/>
            <w:vAlign w:val="center"/>
          </w:tcPr>
          <w:p>
            <w:pPr>
              <w:pStyle w:val="TableContents"/>
              <w:bidi w:val="0"/>
              <w:spacing w:before="0" w:after="283"/>
              <w:jc w:val="left"/>
              <w:rPr/>
            </w:pPr>
            <w:r>
              <w:rPr/>
              <w:t>%</w:t>
            </w:r>
          </w:p>
        </w:tc>
      </w:tr>
      <w:tr>
        <w:trPr/>
        <w:tc>
          <w:tcPr>
            <w:tcW w:w="4478"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12,713</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252</w:t>
            </w:r>
          </w:p>
        </w:tc>
        <w:tc>
          <w:tcPr>
            <w:tcW w:w="340" w:type="dxa"/>
            <w:tcBorders/>
            <w:shd w:fill="CCEEFF" w:val="clear"/>
            <w:vAlign w:val="center"/>
          </w:tcPr>
          <w:p>
            <w:pPr>
              <w:pStyle w:val="TableContents"/>
              <w:bidi w:val="0"/>
              <w:spacing w:before="0" w:after="283"/>
              <w:jc w:val="left"/>
              <w:rPr>
                <w:b/>
              </w:rPr>
            </w:pPr>
            <w:r>
              <w:rPr>
                <w:b/>
              </w:rPr>
              <w:t>%</w:t>
            </w:r>
          </w:p>
        </w:tc>
      </w:tr>
      <w:tr>
        <w:trPr/>
        <w:tc>
          <w:tcPr>
            <w:tcW w:w="4478"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(12,713</w:t>
            </w:r>
          </w:p>
        </w:tc>
        <w:tc>
          <w:tcPr>
            <w:tcW w:w="137" w:type="dxa"/>
            <w:tcBorders/>
            <w:shd w:fill="FFFFFF" w:val="clear"/>
            <w:vAlign w:val="center"/>
          </w:tcPr>
          <w:p>
            <w:pPr>
              <w:pStyle w:val="TableContents"/>
              <w:bidi w:val="0"/>
              <w:spacing w:before="0" w:after="283"/>
              <w:jc w:val="left"/>
              <w:rPr>
                <w:b/>
              </w:rPr>
            </w:pPr>
            <w:r>
              <w:rPr>
                <w:b/>
              </w:rPr>
              <w:t>)</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(3,609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252</w:t>
            </w:r>
          </w:p>
        </w:tc>
        <w:tc>
          <w:tcPr>
            <w:tcW w:w="340" w:type="dxa"/>
            <w:tcBorders/>
            <w:shd w:fill="FFFFFF" w:val="clear"/>
            <w:vAlign w:val="center"/>
          </w:tcPr>
          <w:p>
            <w:pPr>
              <w:pStyle w:val="TableContents"/>
              <w:bidi w:val="0"/>
              <w:spacing w:before="0" w:after="283"/>
              <w:jc w:val="left"/>
              <w:rPr>
                <w:b/>
              </w:rPr>
            </w:pPr>
            <w:r>
              <w:rPr>
                <w:b/>
              </w:rPr>
              <w:t>%</w:t>
            </w:r>
          </w:p>
        </w:tc>
      </w:tr>
      <w:tr>
        <w:trPr/>
        <w:tc>
          <w:tcPr>
            <w:tcW w:w="44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340" w:type="dxa"/>
            <w:tcBorders/>
            <w:shd w:fill="CCEEFF" w:val="clear"/>
            <w:vAlign w:val="center"/>
          </w:tcPr>
          <w:p>
            <w:pPr>
              <w:pStyle w:val="TableContents"/>
              <w:bidi w:val="0"/>
              <w:spacing w:before="0" w:after="283"/>
              <w:jc w:val="left"/>
              <w:rPr/>
            </w:pPr>
            <w:r>
              <w:rPr/>
              <w:t> </w:t>
            </w:r>
          </w:p>
        </w:tc>
      </w:tr>
      <w:tr>
        <w:trPr/>
        <w:tc>
          <w:tcPr>
            <w:tcW w:w="4478" w:type="dxa"/>
            <w:tcBorders/>
            <w:shd w:fill="FFFFFF" w:val="clear"/>
            <w:vAlign w:val="center"/>
          </w:tcPr>
          <w:p>
            <w:pPr>
              <w:pStyle w:val="TableContents"/>
              <w:bidi w:val="0"/>
              <w:spacing w:before="0" w:after="283"/>
              <w:jc w:val="left"/>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r>
      <w:tr>
        <w:trPr/>
        <w:tc>
          <w:tcPr>
            <w:tcW w:w="4478" w:type="dxa"/>
            <w:tcBorders/>
            <w:shd w:fill="CCEEFF" w:val="clear"/>
            <w:vAlign w:val="center"/>
          </w:tcPr>
          <w:p>
            <w:pPr>
              <w:pStyle w:val="TableContents"/>
              <w:bidi w:val="0"/>
              <w:spacing w:before="0" w:after="283"/>
              <w:jc w:val="left"/>
              <w:rPr/>
            </w:pPr>
            <w:r>
              <w:rPr/>
              <w:t>Other income (expenses)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092" w:type="dxa"/>
            <w:tcBorders/>
            <w:shd w:fill="CCEEFF" w:val="clear"/>
            <w:vAlign w:val="center"/>
          </w:tcPr>
          <w:p>
            <w:pPr>
              <w:pStyle w:val="TableContents"/>
              <w:bidi w:val="0"/>
              <w:spacing w:before="0" w:after="283"/>
              <w:jc w:val="right"/>
              <w:rPr/>
            </w:pPr>
            <w:r>
              <w:rPr/>
              <w:t>3,970</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(244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(1,727</w:t>
            </w:r>
          </w:p>
        </w:tc>
        <w:tc>
          <w:tcPr>
            <w:tcW w:w="340" w:type="dxa"/>
            <w:tcBorders/>
            <w:shd w:fill="CCEEFF" w:val="clear"/>
            <w:vAlign w:val="center"/>
          </w:tcPr>
          <w:p>
            <w:pPr>
              <w:pStyle w:val="TableContents"/>
              <w:bidi w:val="0"/>
              <w:spacing w:before="0" w:after="283"/>
              <w:jc w:val="left"/>
              <w:rPr/>
            </w:pPr>
            <w:r>
              <w:rPr/>
              <w:t>)%</w:t>
            </w:r>
          </w:p>
        </w:tc>
      </w:tr>
      <w:tr>
        <w:trPr/>
        <w:tc>
          <w:tcPr>
            <w:tcW w:w="4478" w:type="dxa"/>
            <w:tcBorders/>
            <w:shd w:fill="FFFFFF" w:val="clear"/>
            <w:vAlign w:val="center"/>
          </w:tcPr>
          <w:p>
            <w:pPr>
              <w:pStyle w:val="TableContents"/>
              <w:bidi w:val="0"/>
              <w:spacing w:before="0" w:after="283"/>
              <w:jc w:val="left"/>
              <w:rPr/>
            </w:pPr>
            <w:r>
              <w:rPr/>
              <w:t>Change in fair value - share settled contingent liability</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pPr>
            <w:r>
              <w:rPr/>
              <w:t>(15,827</w:t>
            </w:r>
          </w:p>
        </w:tc>
        <w:tc>
          <w:tcPr>
            <w:tcW w:w="137" w:type="dxa"/>
            <w:tcBorders/>
            <w:shd w:fill="FFFFFF" w:val="clear"/>
            <w:vAlign w:val="center"/>
          </w:tcPr>
          <w:p>
            <w:pPr>
              <w:pStyle w:val="TableContents"/>
              <w:bidi w:val="0"/>
              <w:spacing w:before="0" w:after="283"/>
              <w:jc w:val="left"/>
              <w:rPr/>
            </w:pPr>
            <w:r>
              <w:rPr/>
              <w:t>)</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(15,827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NM</w:t>
            </w:r>
          </w:p>
        </w:tc>
        <w:tc>
          <w:tcPr>
            <w:tcW w:w="340" w:type="dxa"/>
            <w:tcBorders/>
            <w:shd w:fill="FFFFFF" w:val="clear"/>
            <w:vAlign w:val="center"/>
          </w:tcPr>
          <w:p>
            <w:pPr>
              <w:pStyle w:val="TableContents"/>
              <w:bidi w:val="0"/>
              <w:spacing w:before="0" w:after="283"/>
              <w:jc w:val="left"/>
              <w:rPr/>
            </w:pPr>
            <w:r>
              <w:rPr/>
              <w:t> </w:t>
            </w:r>
          </w:p>
        </w:tc>
      </w:tr>
      <w:tr>
        <w:trPr/>
        <w:tc>
          <w:tcPr>
            <w:tcW w:w="4478" w:type="dxa"/>
            <w:tcBorders/>
            <w:shd w:fill="CCEEFF" w:val="clear"/>
            <w:vAlign w:val="center"/>
          </w:tcPr>
          <w:p>
            <w:pPr>
              <w:pStyle w:val="TableContents"/>
              <w:bidi w:val="0"/>
              <w:spacing w:before="0" w:after="283"/>
              <w:jc w:val="left"/>
              <w:rPr/>
            </w:pPr>
            <w:r>
              <w:rPr/>
              <w:t>Change in fair value - warrant liabilities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CCEEFF" w:val="clear"/>
            <w:tcMar>
              <w:bottom w:w="28" w:type="dxa"/>
            </w:tcMar>
            <w:vAlign w:val="center"/>
          </w:tcPr>
          <w:p>
            <w:pPr>
              <w:pStyle w:val="TableContents"/>
              <w:bidi w:val="0"/>
              <w:spacing w:before="0" w:after="283"/>
              <w:jc w:val="right"/>
              <w:rPr/>
            </w:pPr>
            <w:r>
              <w:rPr/>
              <w:t>(580</w:t>
            </w:r>
          </w:p>
        </w:tc>
        <w:tc>
          <w:tcPr>
            <w:tcW w:w="137"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1,260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pPr>
            <w:r>
              <w:rPr/>
              <w:t>(1,840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(146</w:t>
            </w:r>
          </w:p>
        </w:tc>
        <w:tc>
          <w:tcPr>
            <w:tcW w:w="340" w:type="dxa"/>
            <w:tcBorders/>
            <w:shd w:fill="CCEEFF" w:val="clear"/>
            <w:vAlign w:val="center"/>
          </w:tcPr>
          <w:p>
            <w:pPr>
              <w:pStyle w:val="TableContents"/>
              <w:bidi w:val="0"/>
              <w:spacing w:before="0" w:after="283"/>
              <w:jc w:val="left"/>
              <w:rPr/>
            </w:pPr>
            <w:r>
              <w:rPr/>
              <w:t>)%</w:t>
            </w:r>
          </w:p>
        </w:tc>
      </w:tr>
      <w:tr>
        <w:trPr/>
        <w:tc>
          <w:tcPr>
            <w:tcW w:w="4478" w:type="dxa"/>
            <w:tcBorders/>
            <w:shd w:fill="FFFFFF" w:val="clear"/>
            <w:vAlign w:val="center"/>
          </w:tcPr>
          <w:p>
            <w:pPr>
              <w:pStyle w:val="TableContents"/>
              <w:bidi w:val="0"/>
              <w:spacing w:before="0" w:after="283"/>
              <w:jc w:val="left"/>
              <w:rPr>
                <w:b/>
              </w:rPr>
            </w:pPr>
            <w:r>
              <w:rPr>
                <w:b/>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(12,437</w:t>
            </w:r>
          </w:p>
        </w:tc>
        <w:tc>
          <w:tcPr>
            <w:tcW w:w="137" w:type="dxa"/>
            <w:tcBorders/>
            <w:shd w:fill="FFFFFF" w:val="clear"/>
            <w:vAlign w:val="center"/>
          </w:tcPr>
          <w:p>
            <w:pPr>
              <w:pStyle w:val="TableContents"/>
              <w:bidi w:val="0"/>
              <w:spacing w:before="0" w:after="283"/>
              <w:jc w:val="left"/>
              <w:rPr>
                <w:b/>
              </w:rPr>
            </w:pPr>
            <w:r>
              <w:rPr>
                <w:b/>
              </w:rPr>
              <w:t>)</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(13,453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(1,324</w:t>
            </w:r>
          </w:p>
        </w:tc>
        <w:tc>
          <w:tcPr>
            <w:tcW w:w="340" w:type="dxa"/>
            <w:tcBorders/>
            <w:shd w:fill="FFFFFF" w:val="clear"/>
            <w:vAlign w:val="center"/>
          </w:tcPr>
          <w:p>
            <w:pPr>
              <w:pStyle w:val="TableContents"/>
              <w:bidi w:val="0"/>
              <w:spacing w:before="0" w:after="283"/>
              <w:jc w:val="left"/>
              <w:rPr>
                <w:b/>
              </w:rPr>
            </w:pPr>
            <w:r>
              <w:rPr>
                <w:b/>
              </w:rPr>
              <w:t>)%</w:t>
            </w:r>
          </w:p>
        </w:tc>
      </w:tr>
      <w:tr>
        <w:trPr/>
        <w:tc>
          <w:tcPr>
            <w:tcW w:w="4478" w:type="dxa"/>
            <w:tcBorders/>
            <w:shd w:fill="CCEEFF" w:val="clear"/>
            <w:vAlign w:val="center"/>
          </w:tcPr>
          <w:p>
            <w:pPr>
              <w:pStyle w:val="TableContents"/>
              <w:bidi w:val="0"/>
              <w:spacing w:before="0" w:after="283"/>
              <w:jc w:val="left"/>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(25,150</w:t>
            </w:r>
          </w:p>
        </w:tc>
        <w:tc>
          <w:tcPr>
            <w:tcW w:w="137" w:type="dxa"/>
            <w:tcBorders/>
            <w:shd w:fill="CCEEFF" w:val="clear"/>
            <w:vAlign w:val="center"/>
          </w:tcPr>
          <w:p>
            <w:pPr>
              <w:pStyle w:val="TableContents"/>
              <w:bidi w:val="0"/>
              <w:spacing w:before="0" w:after="283"/>
              <w:jc w:val="left"/>
              <w:rPr>
                <w:b/>
              </w:rPr>
            </w:pPr>
            <w:r>
              <w:rPr>
                <w:b/>
              </w:rPr>
              <w:t>)</w:t>
            </w:r>
          </w:p>
        </w:tc>
        <w:tc>
          <w:tcPr>
            <w:tcW w:w="86"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(22,557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(870</w:t>
            </w:r>
          </w:p>
        </w:tc>
        <w:tc>
          <w:tcPr>
            <w:tcW w:w="340" w:type="dxa"/>
            <w:tcBorders/>
            <w:shd w:fill="CCEEFF" w:val="clear"/>
            <w:vAlign w:val="center"/>
          </w:tcPr>
          <w:p>
            <w:pPr>
              <w:pStyle w:val="TableContents"/>
              <w:bidi w:val="0"/>
              <w:spacing w:before="0" w:after="283"/>
              <w:jc w:val="left"/>
              <w:rPr>
                <w:b/>
              </w:rPr>
            </w:pPr>
            <w:r>
              <w:rPr>
                <w:b/>
              </w:rPr>
              <w:t>)%</w:t>
            </w:r>
          </w:p>
        </w:tc>
      </w:tr>
      <w:tr>
        <w:trPr/>
        <w:tc>
          <w:tcPr>
            <w:tcW w:w="4478"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0</w:t>
            </w:r>
          </w:p>
        </w:tc>
        <w:tc>
          <w:tcPr>
            <w:tcW w:w="340" w:type="dxa"/>
            <w:tcBorders/>
            <w:shd w:fill="FFFFFF" w:val="clear"/>
            <w:vAlign w:val="center"/>
          </w:tcPr>
          <w:p>
            <w:pPr>
              <w:pStyle w:val="TableContents"/>
              <w:bidi w:val="0"/>
              <w:spacing w:before="0" w:after="283"/>
              <w:jc w:val="left"/>
              <w:rPr/>
            </w:pPr>
            <w:r>
              <w:rPr/>
              <w:t>%</w:t>
            </w:r>
          </w:p>
        </w:tc>
      </w:tr>
      <w:tr>
        <w:trPr/>
        <w:tc>
          <w:tcPr>
            <w:tcW w:w="4478"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9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(25,150</w:t>
            </w:r>
          </w:p>
        </w:tc>
        <w:tc>
          <w:tcPr>
            <w:tcW w:w="137" w:type="dxa"/>
            <w:tcBorders/>
            <w:shd w:fill="CCEEFF" w:val="clear"/>
            <w:vAlign w:val="center"/>
          </w:tcPr>
          <w:p>
            <w:pPr>
              <w:pStyle w:val="TableContents"/>
              <w:bidi w:val="0"/>
              <w:spacing w:before="0" w:after="283"/>
              <w:jc w:val="left"/>
              <w:rPr>
                <w:b/>
              </w:rPr>
            </w:pPr>
            <w:r>
              <w:rPr>
                <w:b/>
              </w:rPr>
              <w:t>)</w:t>
            </w:r>
          </w:p>
        </w:tc>
        <w:tc>
          <w:tcPr>
            <w:tcW w:w="86"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5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(22,557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(870</w:t>
            </w:r>
          </w:p>
        </w:tc>
        <w:tc>
          <w:tcPr>
            <w:tcW w:w="34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NM – not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$6,474 for the six months ended June 30, 2026 compared to the same period in 2025 primarily due to increases of (i) $4,066 for consulting/advisory fees paid to non-employee service providers, (ii) $1,296 for insurance, (iii) $894 for Board of Director compensation, (iv) $210 for transportation, (v) $142 for software costs, (vi) $63 for food and lodging, (vii) $57 for conference and seminar registration fees, (viii) $47 for rental, and (ix) $43 for filing fees. These increases were offset by decreases of (i) $292 for professional fees, (ii) $86 for software expenses, (iii) $33 for contract fees, and (iv) $27 for consultancy. The remaining $94 net change is primarily driven by office rent, advertising, certificates and procedures, computer equipment depreciation, representation expenses, and other miscellaneous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additional general and administrative expenses as a result of operating as a public company, including expenses related to compliance with the rules and regulations of the SEC and Nasdaq Stock Market, additional insurance costs, investor relations activities and other administrative and professional services. As a result, we expect general and administrative expenses to increase in absolute dollars in future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costs increased by $2,630 for the six months ended June 30, 2026 compared to the same period in 2025 primarily due to increases of (i) $2,092 in technical consultancy fees, (ii) $231 in other payroll and benefits, (iii) $224 in salaries and wages, and (iv) $103 in employee income tax withholding. The remaining $20 net decrease is primarily driven by transportation and travel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$3,970 for the six months ended June 30, 2026, which primarily consists of $2,815 of net foreign currency gains and $1,155 of interest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was $244 for the six months ended June 30, 2025, which primarily consists of $189 of interest expense and $55 of net foreign currency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share settled contingent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 $15,827 unrealized loss in fair value attributable to the change in fair value of the share settled contingent liability for the six months ended June 30, 2026. There was no share settled contingent liability during the same period in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warrant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$580 unrealized loss in fair value attributable to warrant liabilities for the six months ended June 30, 2026 consists of the change in fair value of certain PIPE and Bridge Loan warrants. There was $1,260 unrealized gain in fair value attributable to certain Bridge Loan warrant liabilities during the same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was $0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six months ended June 30, 2026 was $25,150 compared to $2,593 for the six months ended June 30, 2025. The $22,557 net change was primarily due to the $15,827 change in fair value of the share settled contingent liability, $9,104 increase in operating expenses, and $1,840 change in fair value of warrant liabilities. These increases were partially offset by an increase of $4,214 in other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represents our ability to generate sufficient cash to support ongoing operations, meet obligations, and fund future growth. Since inception, we have financed our activities primarily through capital contributions, as we have not yet generated revenue from our core operations. We do not expect to generate meaningful revenue unless and until we complete development, obtain regulatory licenses, and enter the commercialization phase of the SOLO, which we do not anticipate before 2028. Accordingly, we are dependent on our existing cash resources to fund operations while we advance toward commercialization. In the short term, our liquidity is supported by the proceeds received upon closing the Business Combination on October 9, 2025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which, together with the related PIPE financing, generated net proceeds of approximately $106,713. At Closing, all outstanding Bridge Loans converted into 851,483 ordinary shares at a price of $7.00 per share, eliminating near-term debt service commitments. We expect to outsource manufacturing activities, which reduces near-term capital expenditure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of $91,055 and an accumulated deficit of approximately $632,426. Net cash used in operating activities was $8,778 for the six months ended June 30, 2026. We have historically incurred recurring operating losses and generated negative cash flows from operations as we are a pre-revenue company developing technology and looking towards commercialization in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and pursue potential liquidity-enhancing actions, which may include equity or debt financing, strategic transactions, or other funding arrangements; however, no definitive agreements are currently in place. Until sufficient funding is obtained or obligations are otherwise satisfied, we may be required to limit discretionary spending and defer or scale back certain planned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are cash on hand, and our primary uses of liquidity are operating expenses and licensing activities. We continue to actively monitor our liquidity position and may seek additional financing, including future equity offerings, strategic arrangements, or other capital-raising transactions, to support our long-term development and commercialization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detailed information about our net cash flows for the six months ended June 30, 2026 and 2025:</w:t>
      </w:r>
    </w:p>
    <w:p>
      <w:pPr>
        <w:pStyle w:val="TextBody"/>
        <w:bidi w:val="0"/>
        <w:spacing w:before="0" w:after="0"/>
        <w:ind w:left="0" w:right="0" w:firstLine="360"/>
        <w:jc w:val="both"/>
        <w:rPr>
          <w:caps w:val="false"/>
          <w:smallCaps w:val="false"/>
        </w:rPr>
      </w:pPr>
      <w:r>
        <w:rPr>
          <w:caps w:val="false"/>
          <w:smallCaps w:val="false"/>
        </w:rPr>
        <w:t> </w:t>
      </w:r>
    </w:p>
    <w:tbl>
      <w:tblPr>
        <w:tblW w:w="7092" w:type="dxa"/>
        <w:jc w:val="left"/>
        <w:tblInd w:w="0" w:type="dxa"/>
        <w:tblLayout w:type="fixed"/>
        <w:tblCellMar>
          <w:top w:w="0" w:type="dxa"/>
          <w:left w:w="0" w:type="dxa"/>
          <w:bottom w:w="0" w:type="dxa"/>
          <w:right w:w="0" w:type="dxa"/>
        </w:tblCellMar>
      </w:tblPr>
      <w:tblGrid>
        <w:gridCol w:w="3200"/>
        <w:gridCol w:w="60"/>
        <w:gridCol w:w="304"/>
        <w:gridCol w:w="1386"/>
        <w:gridCol w:w="207"/>
        <w:gridCol w:w="130"/>
        <w:gridCol w:w="304"/>
        <w:gridCol w:w="1391"/>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0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b/>
              </w:rPr>
            </w:pPr>
            <w:r>
              <w:rPr>
                <w:b/>
              </w:rPr>
              <w:t>Net cash (used in) provided by:</w:t>
            </w:r>
          </w:p>
        </w:tc>
        <w:tc>
          <w:tcPr>
            <w:tcW w:w="60" w:type="dxa"/>
            <w:tcBorders/>
            <w:vAlign w:val="center"/>
          </w:tcPr>
          <w:p>
            <w:pPr>
              <w:pStyle w:val="TableContents"/>
              <w:bidi w:val="0"/>
              <w:spacing w:before="0" w:after="283"/>
              <w:jc w:val="left"/>
              <w:rPr/>
            </w:pPr>
            <w:r>
              <w:rPr/>
              <w:t> </w:t>
            </w:r>
          </w:p>
        </w:tc>
        <w:tc>
          <w:tcPr>
            <w:tcW w:w="1690" w:type="dxa"/>
            <w:gridSpan w:val="2"/>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6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386" w:type="dxa"/>
            <w:tcBorders/>
            <w:shd w:fill="CCEEFF" w:val="clear"/>
            <w:vAlign w:val="center"/>
          </w:tcPr>
          <w:p>
            <w:pPr>
              <w:pStyle w:val="TableContents"/>
              <w:bidi w:val="0"/>
              <w:spacing w:before="0" w:after="283"/>
              <w:jc w:val="right"/>
              <w:rPr/>
            </w:pPr>
            <w:r>
              <w:rPr/>
              <w:t>(8,778</w:t>
            </w:r>
          </w:p>
        </w:tc>
        <w:tc>
          <w:tcPr>
            <w:tcW w:w="207" w:type="dxa"/>
            <w:tcBorders/>
            <w:shd w:fill="CCEEFF" w:val="clear"/>
            <w:vAlign w:val="center"/>
          </w:tcPr>
          <w:p>
            <w:pPr>
              <w:pStyle w:val="TableContents"/>
              <w:bidi w:val="0"/>
              <w:spacing w:before="0" w:after="283"/>
              <w:jc w:val="left"/>
              <w:rPr/>
            </w:pPr>
            <w:r>
              <w:rPr/>
              <w:t>)</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391" w:type="dxa"/>
            <w:tcBorders/>
            <w:shd w:fill="CCEEFF" w:val="clear"/>
            <w:vAlign w:val="center"/>
          </w:tcPr>
          <w:p>
            <w:pPr>
              <w:pStyle w:val="TableContents"/>
              <w:bidi w:val="0"/>
              <w:spacing w:before="0" w:after="283"/>
              <w:jc w:val="right"/>
              <w:rPr/>
            </w:pPr>
            <w:r>
              <w:rPr/>
              <w:t>(1,371</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right"/>
              <w:rPr/>
            </w:pPr>
            <w:r>
              <w:rPr/>
              <w:t>(378</w:t>
            </w:r>
          </w:p>
        </w:tc>
        <w:tc>
          <w:tcPr>
            <w:tcW w:w="207" w:type="dxa"/>
            <w:tcBorders/>
            <w:shd w:fill="FFFFFF" w:val="clear"/>
            <w:vAlign w:val="center"/>
          </w:tcPr>
          <w:p>
            <w:pPr>
              <w:pStyle w:val="TableContents"/>
              <w:bidi w:val="0"/>
              <w:spacing w:before="0" w:after="283"/>
              <w:jc w:val="left"/>
              <w:rPr/>
            </w:pPr>
            <w:r>
              <w:rPr/>
              <w:t>)</w:t>
            </w:r>
          </w:p>
        </w:tc>
        <w:tc>
          <w:tcPr>
            <w:tcW w:w="13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07"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3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1" w:type="dxa"/>
            <w:tcBorders>
              <w:bottom w:val="single" w:sz="12" w:space="0" w:color="000000"/>
            </w:tcBorders>
            <w:shd w:fill="CCEEFF" w:val="clear"/>
            <w:tcMar>
              <w:bottom w:w="28" w:type="dxa"/>
            </w:tcMar>
            <w:vAlign w:val="center"/>
          </w:tcPr>
          <w:p>
            <w:pPr>
              <w:pStyle w:val="TableContents"/>
              <w:bidi w:val="0"/>
              <w:spacing w:before="0" w:after="283"/>
              <w:jc w:val="right"/>
              <w:rPr/>
            </w:pPr>
            <w:r>
              <w:rPr/>
              <w:t>4,984</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b/>
              </w:rPr>
            </w:pPr>
            <w:r>
              <w:rPr>
                <w:b/>
              </w:rPr>
              <w:t>Net (decrease) increase in cash</w:t>
            </w:r>
          </w:p>
        </w:tc>
        <w:tc>
          <w:tcPr>
            <w:tcW w:w="60" w:type="dxa"/>
            <w:tcBorders/>
            <w:shd w:fill="FFFFFF" w:val="clear"/>
            <w:vAlign w:val="center"/>
          </w:tcPr>
          <w:p>
            <w:pPr>
              <w:pStyle w:val="TableContents"/>
              <w:bidi w:val="0"/>
              <w:spacing w:before="0" w:after="283"/>
              <w:jc w:val="left"/>
              <w:rPr/>
            </w:pPr>
            <w:r>
              <w:rPr/>
              <w:t> </w:t>
            </w:r>
          </w:p>
        </w:tc>
        <w:tc>
          <w:tcPr>
            <w:tcW w:w="30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86" w:type="dxa"/>
            <w:tcBorders>
              <w:bottom w:val="double" w:sz="10" w:space="0" w:color="000000"/>
            </w:tcBorders>
            <w:shd w:fill="FFFFFF" w:val="clear"/>
            <w:tcMar>
              <w:bottom w:w="28" w:type="dxa"/>
            </w:tcMar>
            <w:vAlign w:val="center"/>
          </w:tcPr>
          <w:p>
            <w:pPr>
              <w:pStyle w:val="TableContents"/>
              <w:bidi w:val="0"/>
              <w:spacing w:before="0" w:after="283"/>
              <w:jc w:val="right"/>
              <w:rPr/>
            </w:pPr>
            <w:r>
              <w:rPr/>
              <w:t>(9,156</w:t>
            </w:r>
          </w:p>
        </w:tc>
        <w:tc>
          <w:tcPr>
            <w:tcW w:w="207" w:type="dxa"/>
            <w:tcBorders/>
            <w:shd w:fill="FFFFFF" w:val="clear"/>
            <w:vAlign w:val="center"/>
          </w:tcPr>
          <w:p>
            <w:pPr>
              <w:pStyle w:val="TableContents"/>
              <w:bidi w:val="0"/>
              <w:spacing w:before="0" w:after="283"/>
              <w:jc w:val="left"/>
              <w:rPr/>
            </w:pPr>
            <w:r>
              <w:rPr/>
              <w:t>)</w:t>
            </w:r>
          </w:p>
        </w:tc>
        <w:tc>
          <w:tcPr>
            <w:tcW w:w="130" w:type="dxa"/>
            <w:tcBorders/>
            <w:shd w:fill="FFFFFF" w:val="clear"/>
            <w:vAlign w:val="center"/>
          </w:tcPr>
          <w:p>
            <w:pPr>
              <w:pStyle w:val="TableContents"/>
              <w:bidi w:val="0"/>
              <w:spacing w:before="0" w:after="283"/>
              <w:jc w:val="left"/>
              <w:rPr/>
            </w:pPr>
            <w:r>
              <w:rPr/>
              <w:t> </w:t>
            </w:r>
          </w:p>
        </w:tc>
        <w:tc>
          <w:tcPr>
            <w:tcW w:w="30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91" w:type="dxa"/>
            <w:tcBorders>
              <w:bottom w:val="double" w:sz="10" w:space="0" w:color="000000"/>
            </w:tcBorders>
            <w:shd w:fill="FFFFFF" w:val="clear"/>
            <w:tcMar>
              <w:bottom w:w="28" w:type="dxa"/>
            </w:tcMar>
            <w:vAlign w:val="center"/>
          </w:tcPr>
          <w:p>
            <w:pPr>
              <w:pStyle w:val="TableContents"/>
              <w:bidi w:val="0"/>
              <w:spacing w:before="0" w:after="283"/>
              <w:jc w:val="right"/>
              <w:rPr/>
            </w:pPr>
            <w:r>
              <w:rPr/>
              <w:t>3,613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operating activities for the six months ended June 30, 2026 was $8,778. This amount was primarily driven by (i) net loss of $25,150, (ii) non-cash adjustments of $15,549, (iii) net working capital decreases of $798, and (iv) an increase in other non-current liabilities of $25.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operating activities for the six months ended June 30, 2025 was $1,371. This amount was primarily attributable to (i) net loss of $2,593, (ii) non-cash adjustments of $1,079, (iii) net working capital decreases of $2,298, and (iv) an increase in other non-current liabilities of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for the six months ended June 30, 2026 was $378, which was related to the purchases of equipment. There was no net cash from investing activities during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net cash from financing activities during the six months ended June 30, 2026. Net cash provided by financing activities for the six months ended June 30, 2025 consisted of proceeds of $4,984. This amount primarily consists of (i) $4,803 of proceeds from bridge loans, (ii) $190 of proceeds from related party loans, (iii) $20 of payments of debt issuance costs associated with the bridge loans, and (iv) $11 of capital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our critical accounting policies and estimates from those disclosed in our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off-balance sheet arrangements (as that term is defined in Item 303 of Regulation S-K) that are reasonably likely to have a current or future material effect on our financial condition, expenses, results of operations, liquidity, or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3. “Related Party Transactions” of the Notes to our Financial Statements included elsewhere in this Form 10-Q for a discussion of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Standards and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2. “Summary of Significant Accounting Policies” of the Notes to our Financial Statements included elsewhere in this Form 10-Q for a discussion of recent accounting standards and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under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an evaluation, under the supervision and with the participation of our management, of the effectiveness of the design and operation of our disclosure controls and procedures. The term “disclosure controls and procedures,” as defined in Rules 13a-15(e) and 15d-15(e) under the Securities Exchange Act of 1934, as amended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controls and other procedures of a company that are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also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that evaluation, our Chief Executive Officer and Chief Financial Officer concluded that, as of June 30, 2026, our disclosure controls and procedures were not effective because of certain material weaknesses in our internal control over financial reporting, as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Management’s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Rules 13a-15(f) and 15d-15(f) under the Securities Exchange Act of 1934. Our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Our internal control over financial reporting includes those policies and procedures that: (i) pertain to the maintenance of records that, in reasonable detail, accurately and fairly reflect the transactions and disposition of the assets of our company; (ii) provide reasonable assurance that transactions are recorded as necessary to permit preparation of financial statements in accordance with GAAP and that receipts and expenditures of our company are being made only in accordance with authorization of management and directors of our company; and (iii) provide reasonable assurance regarding prevention or timely detection of unauthorized acquisition, use, or disposition of our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assesses the effectiveness of our internal control over financial reporting using the criteria set forth by the Committee of Sponsoring Organizations of the Treadway Commission in the 2013 Internal Control-Integrated Framework (or “</w:t>
      </w:r>
      <w:r>
        <w:rPr>
          <w:rFonts w:ascii="Times New Roman;Times;Serif" w:hAnsi="Times New Roman;Times;Serif"/>
          <w:b/>
          <w:i w:val="false"/>
          <w:caps w:val="false"/>
          <w:smallCaps w:val="false"/>
          <w:sz w:val="20"/>
        </w:rPr>
        <w:t>COSO Framework”</w:t>
      </w:r>
      <w:r>
        <w:rPr>
          <w:rFonts w:ascii="Times New Roman;Times;Serif" w:hAnsi="Times New Roman;Times;Serif"/>
          <w:b w:val="false"/>
          <w:i w:val="false"/>
          <w:caps w:val="false"/>
          <w:smallCaps w:val="false"/>
          <w:sz w:val="20"/>
        </w:rPr>
        <w:t>). As reported in our Form 10-K for the fiscal year ended December 31, 2025, management has concluded that we did not maintain effective internal control over financial reporting due to the existence of four material weaknesses, described further below. A material weakness, as defined under standards established by the Public Company Accounting Oversight Board’s Auditing Standard No. 2, is a control deficiency, or a combination of control deficiencies, that results in more than a remote likelihood that material misstatement of annual or interim financial statements would not be prevented or detected. We describe the material weaknesses in the following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 Material Weakness in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maintain effective internal controls over financial reporting, based on the criteria established in the COSO Framework, which resulted in deficiencies in principles associated with the control environment and its ongoing evaluation by management. These control deficiencies constituted material weaknesses, either individually or in the aggregate, relating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lack of sufficient Sarbanes-Oxley Act of 2002 (“Sarbanes-Oxley”) control environment, including: (i) insufficient structured reporting to our Board of Directors and Audit Committee on the design and operating effectiveness of internal controls over financial reporting; (ii) the organization has not attracted, developed, or retained personnel with the competence required to design and execute SOX-compliant controls, including the competence to scope, review and challenge the work of the external accounting valuation and tax specialists on which it relies; (iii) organizational structures, reporting lines and authorities for the financial reporting function have not been formally defined, which is the structural driver of the segregation of duties condition; and (iv) no individual has been formally designated as accountable for our Sarbanes-Oxley compliance program.</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Following completion of our de-SPAC transaction we did not perform a formal assessment of the impact of this change on our internal control environment. As a result: (i) financial reporting objectives have not been defined in the context of public company obligations; (ii) risks to achieving those objectives have not been formally identified or assessed; (iii) no fraud risk assessment has been performed; (iv) accountability for the risk-assessment process has not been assigned; and (v) no evaluation was performed to assess the delta between our existing control environment and the requirements of an SEC registrant.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failure to uplift our internal controls following our de-SPAC transaction. Specifically: (i) key controls lack documented evidence of review sufficient for audit purposes; (ii) data used in controls has not been validated for completeness and accuracy; (iii) third-party data is relied upon without evaluation of service organization controls or mapping of complementary user entity controls, and reliance on external specialists engaged for complex accounting, valuation and tax matters is not subject to structured internal review and challenge; (iv) no formal SOX policies or procedures have been documented; and (v) IT General Controls have not been scoped or evaluated.</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do not have a monitoring program to assess whether internal controls over financial reporting are present and operating effectively on an ongoing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created a reasonable possibility that a material misstatement of our annual or interim financial statements will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developed a plan to remediate the identified material weaknesses, and we expect to begin implementing these remediation efforts in 2026 and to include the following measures:</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0"/>
        <w:gridCol w:w="9838"/>
      </w:tblGrid>
      <w:tr>
        <w:trPr/>
        <w:tc>
          <w:tcPr>
            <w:tcW w:w="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w:t>
            </w:r>
          </w:p>
        </w:tc>
        <w:tc>
          <w:tcPr>
            <w:tcW w:w="9838" w:type="dxa"/>
            <w:tcBorders/>
            <w:vAlign w:val="center"/>
          </w:tcPr>
          <w:p>
            <w:pPr>
              <w:pStyle w:val="TableContents"/>
              <w:bidi w:val="0"/>
              <w:spacing w:before="0" w:after="283"/>
              <w:jc w:val="both"/>
              <w:rPr/>
            </w:pPr>
            <w:r>
              <w:rPr/>
              <w:t>designating a Sarbanes-Oxley compliance program owner;</w:t>
            </w:r>
          </w:p>
        </w:tc>
      </w:tr>
    </w:tbl>
    <w:p>
      <w:pPr>
        <w:pStyle w:val="TextBody"/>
        <w:bidi w:val="0"/>
        <w:spacing w:before="0" w:after="0"/>
        <w:ind w:left="720" w:right="0" w:firstLine="4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0"/>
        <w:gridCol w:w="9948"/>
      </w:tblGrid>
      <w:tr>
        <w:trPr/>
        <w:tc>
          <w:tcPr>
            <w:tcW w:w="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8" w:type="dxa"/>
            <w:tcBorders/>
            <w:vAlign w:val="center"/>
          </w:tcPr>
          <w:p>
            <w:pPr>
              <w:pStyle w:val="TableContents"/>
              <w:bidi w:val="0"/>
              <w:spacing w:before="0" w:after="283"/>
              <w:jc w:val="both"/>
              <w:rPr/>
            </w:pPr>
            <w:r>
              <w:rPr/>
              <w:t>engaging external Sarbanes-Oxley advisors to provide training and advisory support;</w:t>
            </w:r>
          </w:p>
        </w:tc>
      </w:tr>
    </w:tbl>
    <w:p>
      <w:pPr>
        <w:pStyle w:val="TextBody"/>
        <w:bidi w:val="0"/>
        <w:spacing w:before="0" w:after="0"/>
        <w:ind w:left="720" w:right="0" w:firstLine="4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3"/>
        <w:gridCol w:w="9859"/>
      </w:tblGrid>
      <w:tr>
        <w:trPr/>
        <w:tc>
          <w:tcPr>
            <w:tcW w:w="6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w:t>
            </w:r>
          </w:p>
        </w:tc>
        <w:tc>
          <w:tcPr>
            <w:tcW w:w="9859" w:type="dxa"/>
            <w:tcBorders/>
            <w:vAlign w:val="center"/>
          </w:tcPr>
          <w:p>
            <w:pPr>
              <w:pStyle w:val="TableContents"/>
              <w:bidi w:val="0"/>
              <w:spacing w:before="0" w:after="283"/>
              <w:jc w:val="both"/>
              <w:rPr/>
            </w:pPr>
            <w:r>
              <w:rPr/>
              <w:t>evaluating the need for additional qualified finance headcount;</w:t>
            </w:r>
          </w:p>
        </w:tc>
      </w:tr>
    </w:tbl>
    <w:p>
      <w:pPr>
        <w:pStyle w:val="TextBody"/>
        <w:bidi w:val="0"/>
        <w:spacing w:before="0" w:after="0"/>
        <w:ind w:left="720" w:right="0" w:firstLine="4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8"/>
        <w:gridCol w:w="9866"/>
      </w:tblGrid>
      <w:tr>
        <w:trPr/>
        <w:tc>
          <w:tcPr>
            <w:tcW w:w="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66" w:type="dxa"/>
            <w:tcBorders/>
            <w:vAlign w:val="center"/>
          </w:tcPr>
          <w:p>
            <w:pPr>
              <w:pStyle w:val="TableContents"/>
              <w:bidi w:val="0"/>
              <w:spacing w:before="0" w:after="283"/>
              <w:jc w:val="both"/>
              <w:rPr/>
            </w:pPr>
            <w:r>
              <w:rPr/>
              <w:t>establishing audit committee reporting on internal control status;</w:t>
            </w:r>
          </w:p>
        </w:tc>
      </w:tr>
    </w:tbl>
    <w:p>
      <w:pPr>
        <w:pStyle w:val="TextBody"/>
        <w:bidi w:val="0"/>
        <w:spacing w:before="0" w:after="0"/>
        <w:ind w:left="720" w:right="0" w:firstLine="4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performing a formal de-SPAC transition impact assessment on internal controls, including documenting the gap between current-state controls and SOX requirements as the baseline for the remediation roadmap;</w:t>
            </w:r>
          </w:p>
        </w:tc>
      </w:tr>
    </w:tbl>
    <w:p>
      <w:pPr>
        <w:pStyle w:val="TextBody"/>
        <w:bidi w:val="0"/>
        <w:spacing w:before="0" w:after="0"/>
        <w:ind w:left="720" w:right="0" w:firstLine="4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performing a formal fraud risk assessment over financial reporting and reporting the results to the Audit Committee;</w:t>
            </w:r>
          </w:p>
        </w:tc>
      </w:tr>
    </w:tbl>
    <w:p>
      <w:pPr>
        <w:pStyle w:val="TextBody"/>
        <w:bidi w:val="0"/>
        <w:spacing w:before="0" w:after="0"/>
        <w:ind w:left="720" w:right="0" w:firstLine="4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8"/>
        <w:gridCol w:w="9866"/>
      </w:tblGrid>
      <w:tr>
        <w:trPr/>
        <w:tc>
          <w:tcPr>
            <w:tcW w:w="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66" w:type="dxa"/>
            <w:tcBorders/>
            <w:vAlign w:val="center"/>
          </w:tcPr>
          <w:p>
            <w:pPr>
              <w:pStyle w:val="TableContents"/>
              <w:bidi w:val="0"/>
              <w:spacing w:before="0" w:after="283"/>
              <w:jc w:val="both"/>
              <w:rPr/>
            </w:pPr>
            <w:r>
              <w:rPr/>
              <w:t>developing SOX policies and procedures and control templates;</w:t>
            </w:r>
          </w:p>
        </w:tc>
      </w:tr>
    </w:tbl>
    <w:p>
      <w:pPr>
        <w:pStyle w:val="TextBody"/>
        <w:bidi w:val="0"/>
        <w:spacing w:before="0" w:after="0"/>
        <w:ind w:left="720" w:right="0" w:firstLine="4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3"/>
        <w:gridCol w:w="9847"/>
      </w:tblGrid>
      <w:tr>
        <w:trPr/>
        <w:tc>
          <w:tcPr>
            <w:tcW w:w="6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both"/>
              <w:rPr/>
            </w:pPr>
            <w:r>
              <w:rPr/>
              <w:t>implementing data validation protocols for all control inputs;</w:t>
            </w:r>
          </w:p>
        </w:tc>
      </w:tr>
    </w:tbl>
    <w:p>
      <w:pPr>
        <w:pStyle w:val="TextBody"/>
        <w:bidi w:val="0"/>
        <w:spacing w:before="0" w:after="0"/>
        <w:ind w:left="720" w:right="0" w:firstLine="4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obtaining and reviewing SOC-1 reports for key third-party vendors and completing CUEC mapping; and</w:t>
            </w:r>
          </w:p>
        </w:tc>
      </w:tr>
    </w:tbl>
    <w:p>
      <w:pPr>
        <w:pStyle w:val="TextBody"/>
        <w:bidi w:val="0"/>
        <w:spacing w:before="0" w:after="0"/>
        <w:ind w:left="720" w:right="0" w:firstLine="40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7" w:type="dxa"/>
            <w:tcBorders/>
            <w:vAlign w:val="center"/>
          </w:tcPr>
          <w:p>
            <w:pPr>
              <w:pStyle w:val="TableContents"/>
              <w:bidi w:val="0"/>
              <w:spacing w:before="0" w:after="283"/>
              <w:jc w:val="both"/>
              <w:rPr/>
            </w:pPr>
            <w:r>
              <w:rPr/>
              <w:t>scoping and commencing an IT general controls assessment with support from an IT audit specialist.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during the quarter ended June 30, 2026, in our internal control over financial reporting that materially affected, or are reasonably likely to materially affect, our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and from time to time, we may become involved in legal proceedings or be subject to claims arising in the ordinary course of our business. We are not presently a party to any legal proceedings that in the opinion of our management, if determined adversely to us, would individually or taken together have a material adverse effect on our business, financial condition or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Defending such proceedings is costly and can impose a significant burden on management and team members.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1A. 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under this item.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2. UNREGISTERED SALES OF EQUITY SECURITIES, USE OF PROCEEDS AND ISSUER PURCHASES OF EQUITY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4. MINE SAFETY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8"/>
        <w:gridCol w:w="60"/>
        <w:gridCol w:w="9117"/>
      </w:tblGrid>
      <w:tr>
        <w:trPr/>
        <w:tc>
          <w:tcPr>
            <w:tcW w:w="1028" w:type="dxa"/>
            <w:tcBorders>
              <w:bottom w:val="single" w:sz="12" w:space="0" w:color="000000"/>
            </w:tcBorders>
            <w:vAlign w:val="center"/>
          </w:tcPr>
          <w:p>
            <w:pPr>
              <w:pStyle w:val="TableContents"/>
              <w:bidi w:val="0"/>
              <w:spacing w:before="0" w:after="283"/>
              <w:jc w:val="left"/>
              <w:rPr>
                <w:b/>
              </w:rPr>
            </w:pPr>
            <w:r>
              <w:rPr>
                <w:b/>
              </w:rPr>
              <w:t xml:space="preserve">Exhibit No. </w:t>
            </w:r>
          </w:p>
        </w:tc>
        <w:tc>
          <w:tcPr>
            <w:tcW w:w="60" w:type="dxa"/>
            <w:tcBorders/>
            <w:tcMar>
              <w:bottom w:w="0" w:type="dxa"/>
            </w:tcMar>
            <w:vAlign w:val="center"/>
          </w:tcPr>
          <w:p>
            <w:pPr>
              <w:pStyle w:val="TableContents"/>
              <w:bidi w:val="0"/>
              <w:spacing w:before="0" w:after="283"/>
              <w:jc w:val="left"/>
              <w:rPr/>
            </w:pPr>
            <w:r>
              <w:rPr/>
              <w:t> </w:t>
            </w:r>
          </w:p>
        </w:tc>
        <w:tc>
          <w:tcPr>
            <w:tcW w:w="9117"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1028" w:type="dxa"/>
            <w:tcBorders/>
            <w:shd w:fill="CCEEFF" w:val="clear"/>
            <w:tcMar>
              <w:bottom w:w="0" w:type="dxa"/>
            </w:tcMar>
            <w:vAlign w:val="center"/>
          </w:tcPr>
          <w:p>
            <w:pPr>
              <w:pStyle w:val="TableContents"/>
              <w:bidi w:val="0"/>
              <w:spacing w:before="0" w:after="283"/>
              <w:jc w:val="left"/>
              <w:rPr/>
            </w:pPr>
            <w:r>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pPr>
            <w:hyperlink r:id="rId2">
              <w:r>
                <w:rPr>
                  <w:rStyle w:val="InternetLink"/>
                </w:rPr>
                <w:t>Certification of Principal Executive Officer pursuant to Exchange Act Rules 13a-14(a) and 15d-14(a), as adopted pursuant to Section 302 of the Sarbanes-Oxley Act of 2002.</w:t>
              </w:r>
            </w:hyperlink>
          </w:p>
        </w:tc>
      </w:tr>
      <w:tr>
        <w:trPr/>
        <w:tc>
          <w:tcPr>
            <w:tcW w:w="1028" w:type="dxa"/>
            <w:tcBorders/>
            <w:shd w:fill="FFFFFF" w:val="clear"/>
            <w:tcMar>
              <w:bottom w:w="0" w:type="dxa"/>
            </w:tcMar>
            <w:vAlign w:val="center"/>
          </w:tcPr>
          <w:p>
            <w:pPr>
              <w:pStyle w:val="TableContents"/>
              <w:bidi w:val="0"/>
              <w:spacing w:before="0" w:after="283"/>
              <w:jc w:val="left"/>
              <w:rPr/>
            </w:pPr>
            <w:r>
              <w:rPr/>
              <w:t>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pPr>
            <w:hyperlink r:id="rId3">
              <w:r>
                <w:rPr>
                  <w:rStyle w:val="InternetLink"/>
                </w:rPr>
                <w:t>Certification of Principal Financial Officer pursuant to Exchange Act Rules 13a-14(a) and 15d-14(a), as adopted pursuant to Section 302 of the Sarbanes-Oxley Act of 2002.</w:t>
              </w:r>
            </w:hyperlink>
          </w:p>
        </w:tc>
      </w:tr>
      <w:tr>
        <w:trPr/>
        <w:tc>
          <w:tcPr>
            <w:tcW w:w="1028" w:type="dxa"/>
            <w:tcBorders/>
            <w:shd w:fill="CCEEFF" w:val="clear"/>
            <w:tcMar>
              <w:bottom w:w="0" w:type="dxa"/>
            </w:tcMar>
            <w:vAlign w:val="center"/>
          </w:tcPr>
          <w:p>
            <w:pPr>
              <w:pStyle w:val="TableContents"/>
              <w:bidi w:val="0"/>
              <w:spacing w:before="0" w:after="283"/>
              <w:jc w:val="left"/>
              <w:rPr/>
            </w:pPr>
            <w:r>
              <w:rPr/>
              <w:t>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pPr>
            <w:hyperlink r:id="rId4">
              <w:r>
                <w:rPr>
                  <w:rStyle w:val="InternetLink"/>
                </w:rPr>
                <w:t>Certification of Principal Executive Officer pursuant to 18 U.S.C. Section 1350, as adopted pursuant to Section 906 of the Sarbanes-Oxley Act of 2002.</w:t>
              </w:r>
            </w:hyperlink>
          </w:p>
        </w:tc>
      </w:tr>
      <w:tr>
        <w:trPr/>
        <w:tc>
          <w:tcPr>
            <w:tcW w:w="1028" w:type="dxa"/>
            <w:tcBorders/>
            <w:shd w:fill="FFFFFF" w:val="clear"/>
            <w:tcMar>
              <w:bottom w:w="0" w:type="dxa"/>
            </w:tcMar>
            <w:vAlign w:val="center"/>
          </w:tcPr>
          <w:p>
            <w:pPr>
              <w:pStyle w:val="TableContents"/>
              <w:bidi w:val="0"/>
              <w:spacing w:before="0" w:after="283"/>
              <w:jc w:val="left"/>
              <w:rPr/>
            </w:pPr>
            <w:r>
              <w:rPr/>
              <w:t>32.2*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pPr>
            <w:hyperlink r:id="rId5">
              <w:r>
                <w:rPr>
                  <w:rStyle w:val="InternetLink"/>
                </w:rPr>
                <w:t>Certification of Principal Financial Officer pursuant to 18 U.S.C. Section 1350, as adopted pursuant to Section 906 of the Sarbanes-Oxley Act of 2002.</w:t>
              </w:r>
            </w:hyperlink>
          </w:p>
        </w:tc>
      </w:tr>
      <w:tr>
        <w:trPr/>
        <w:tc>
          <w:tcPr>
            <w:tcW w:w="1028" w:type="dxa"/>
            <w:tcBorders/>
            <w:shd w:fill="CCEEFF" w:val="clear"/>
            <w:tcMar>
              <w:bottom w:w="0" w:type="dxa"/>
            </w:tcMar>
            <w:vAlign w:val="center"/>
          </w:tcPr>
          <w:p>
            <w:pPr>
              <w:pStyle w:val="TableContents"/>
              <w:bidi w:val="0"/>
              <w:spacing w:before="0" w:after="283"/>
              <w:jc w:val="left"/>
              <w:rPr/>
            </w:pPr>
            <w:r>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pPr>
            <w:r>
              <w:rPr/>
              <w:t>Inline XBRL Instance Document (the instance document does not appear in the Interactive Data File because iXBRL tags are embedded within the Inline XBRL document).</w:t>
            </w:r>
          </w:p>
        </w:tc>
      </w:tr>
      <w:tr>
        <w:trPr/>
        <w:tc>
          <w:tcPr>
            <w:tcW w:w="1028" w:type="dxa"/>
            <w:tcBorders/>
            <w:shd w:fill="FFFFFF" w:val="clear"/>
            <w:tcMar>
              <w:bottom w:w="0" w:type="dxa"/>
            </w:tcMar>
            <w:vAlign w:val="center"/>
          </w:tcPr>
          <w:p>
            <w:pPr>
              <w:pStyle w:val="TableContents"/>
              <w:bidi w:val="0"/>
              <w:spacing w:before="0" w:after="283"/>
              <w:jc w:val="left"/>
              <w:rPr/>
            </w:pPr>
            <w:r>
              <w:rPr/>
              <w:t>101.SCH*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pPr>
            <w:r>
              <w:rPr/>
              <w:t>Inline XBRL Taxonomy Extension Schema Document</w:t>
            </w:r>
          </w:p>
        </w:tc>
      </w:tr>
      <w:tr>
        <w:trPr/>
        <w:tc>
          <w:tcPr>
            <w:tcW w:w="1028" w:type="dxa"/>
            <w:tcBorders/>
            <w:shd w:fill="CCEEFF" w:val="clear"/>
            <w:tcMar>
              <w:bottom w:w="0" w:type="dxa"/>
            </w:tcMar>
            <w:vAlign w:val="center"/>
          </w:tcPr>
          <w:p>
            <w:pPr>
              <w:pStyle w:val="TableContents"/>
              <w:bidi w:val="0"/>
              <w:spacing w:before="0" w:after="283"/>
              <w:jc w:val="left"/>
              <w:rPr/>
            </w:pPr>
            <w:r>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pPr>
            <w:r>
              <w:rPr/>
              <w:t>Inline XBRL Taxonomy Extension Calculation Linkbase Document</w:t>
            </w:r>
          </w:p>
        </w:tc>
      </w:tr>
      <w:tr>
        <w:trPr/>
        <w:tc>
          <w:tcPr>
            <w:tcW w:w="1028" w:type="dxa"/>
            <w:tcBorders/>
            <w:shd w:fill="FFFFFF" w:val="clear"/>
            <w:tcMar>
              <w:bottom w:w="0" w:type="dxa"/>
            </w:tcMar>
            <w:vAlign w:val="center"/>
          </w:tcPr>
          <w:p>
            <w:pPr>
              <w:pStyle w:val="TableContents"/>
              <w:bidi w:val="0"/>
              <w:spacing w:before="0" w:after="283"/>
              <w:jc w:val="left"/>
              <w:rPr/>
            </w:pPr>
            <w:r>
              <w:rPr/>
              <w:t>101.DEF*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pPr>
            <w:r>
              <w:rPr/>
              <w:t>Inline XBRL Taxonomy Extension Definition Linkbase Document</w:t>
            </w:r>
          </w:p>
        </w:tc>
      </w:tr>
      <w:tr>
        <w:trPr/>
        <w:tc>
          <w:tcPr>
            <w:tcW w:w="1028" w:type="dxa"/>
            <w:tcBorders/>
            <w:shd w:fill="CCEEFF" w:val="clear"/>
            <w:tcMar>
              <w:bottom w:w="0" w:type="dxa"/>
            </w:tcMar>
            <w:vAlign w:val="center"/>
          </w:tcPr>
          <w:p>
            <w:pPr>
              <w:pStyle w:val="TableContents"/>
              <w:bidi w:val="0"/>
              <w:spacing w:before="0" w:after="283"/>
              <w:jc w:val="left"/>
              <w:rPr/>
            </w:pPr>
            <w:r>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pPr>
            <w:r>
              <w:rPr/>
              <w:t>Inline XBRL Taxonomy Extension Labels Linkbase Document</w:t>
            </w:r>
          </w:p>
        </w:tc>
      </w:tr>
      <w:tr>
        <w:trPr/>
        <w:tc>
          <w:tcPr>
            <w:tcW w:w="1028" w:type="dxa"/>
            <w:tcBorders/>
            <w:shd w:fill="FFFFFF" w:val="clear"/>
            <w:tcMar>
              <w:bottom w:w="0" w:type="dxa"/>
            </w:tcMar>
            <w:vAlign w:val="center"/>
          </w:tcPr>
          <w:p>
            <w:pPr>
              <w:pStyle w:val="TableContents"/>
              <w:bidi w:val="0"/>
              <w:spacing w:before="0" w:after="283"/>
              <w:jc w:val="left"/>
              <w:rPr/>
            </w:pPr>
            <w:r>
              <w:rPr/>
              <w:t>101.PRE*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pPr>
            <w:r>
              <w:rPr/>
              <w:t>Inline XBRL Taxonomy Extension Presentation Linkbase Document</w:t>
            </w:r>
          </w:p>
        </w:tc>
      </w:tr>
      <w:tr>
        <w:trPr/>
        <w:tc>
          <w:tcPr>
            <w:tcW w:w="1028"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pPr>
            <w:r>
              <w:rPr/>
              <w:t>Cover page from the Company’s Quarterly Report on Form 10-Q for the period ended June 30, 2026 formatted in Inline XBRL (included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155"/>
        <w:gridCol w:w="1400"/>
      </w:tblGrid>
      <w:tr>
        <w:trPr/>
        <w:tc>
          <w:tcPr>
            <w:tcW w:w="155"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both"/>
              <w:rPr/>
            </w:pPr>
            <w:r>
              <w:rPr/>
              <w:t>Filed herewith</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279" w:type="dxa"/>
        <w:jc w:val="left"/>
        <w:tblInd w:w="0" w:type="dxa"/>
        <w:tblLayout w:type="fixed"/>
        <w:tblCellMar>
          <w:top w:w="0" w:type="dxa"/>
          <w:left w:w="0" w:type="dxa"/>
          <w:bottom w:w="0" w:type="dxa"/>
          <w:right w:w="0" w:type="dxa"/>
        </w:tblCellMar>
      </w:tblPr>
      <w:tblGrid>
        <w:gridCol w:w="1895"/>
        <w:gridCol w:w="1046"/>
        <w:gridCol w:w="3338"/>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4384" w:type="dxa"/>
            <w:gridSpan w:val="2"/>
            <w:tcBorders/>
            <w:vAlign w:val="center"/>
          </w:tcPr>
          <w:p>
            <w:pPr>
              <w:pStyle w:val="TableContents"/>
              <w:bidi w:val="0"/>
              <w:spacing w:before="0" w:after="283"/>
              <w:jc w:val="left"/>
              <w:rPr>
                <w:b/>
              </w:rPr>
            </w:pPr>
            <w:r>
              <w:rPr>
                <w:b/>
              </w:rPr>
              <w:t>Terra Innovatum Global N.V.</w:t>
            </w:r>
          </w:p>
        </w:tc>
      </w:tr>
      <w:tr>
        <w:trPr/>
        <w:tc>
          <w:tcPr>
            <w:tcW w:w="189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4384" w:type="dxa"/>
            <w:gridSpan w:val="2"/>
            <w:tcBorders>
              <w:bottom w:val="single" w:sz="12" w:space="0" w:color="000000"/>
            </w:tcBorders>
            <w:tcMar>
              <w:bottom w:w="28" w:type="dxa"/>
            </w:tcMar>
            <w:vAlign w:val="center"/>
          </w:tcPr>
          <w:p>
            <w:pPr>
              <w:pStyle w:val="TableContents"/>
              <w:bidi w:val="0"/>
              <w:spacing w:before="0" w:after="283"/>
              <w:jc w:val="left"/>
              <w:rPr/>
            </w:pPr>
            <w:r>
              <w:rPr/>
              <w:t>/s/ Alessandro Petruzzi</w:t>
            </w:r>
          </w:p>
        </w:tc>
      </w:tr>
      <w:tr>
        <w:trPr/>
        <w:tc>
          <w:tcPr>
            <w:tcW w:w="1895"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Name: </w:t>
            </w:r>
          </w:p>
        </w:tc>
        <w:tc>
          <w:tcPr>
            <w:tcW w:w="3338" w:type="dxa"/>
            <w:tcBorders/>
            <w:vAlign w:val="center"/>
          </w:tcPr>
          <w:p>
            <w:pPr>
              <w:pStyle w:val="TableContents"/>
              <w:bidi w:val="0"/>
              <w:spacing w:before="0" w:after="283"/>
              <w:jc w:val="left"/>
              <w:rPr/>
            </w:pPr>
            <w:r>
              <w:rPr/>
              <w:t>Alessandro Petruzzi</w:t>
            </w:r>
          </w:p>
        </w:tc>
      </w:tr>
      <w:tr>
        <w:trPr/>
        <w:tc>
          <w:tcPr>
            <w:tcW w:w="1895"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Title:</w:t>
            </w:r>
          </w:p>
        </w:tc>
        <w:tc>
          <w:tcPr>
            <w:tcW w:w="3338" w:type="dxa"/>
            <w:tcBorders/>
            <w:vAlign w:val="center"/>
          </w:tcPr>
          <w:p>
            <w:pPr>
              <w:pStyle w:val="TableContents"/>
              <w:bidi w:val="0"/>
              <w:spacing w:before="0" w:after="283"/>
              <w:jc w:val="left"/>
              <w:rPr/>
            </w:pPr>
            <w:r>
              <w:rPr/>
              <w:t>Chief Executive Officer</w:t>
            </w:r>
          </w:p>
        </w:tc>
      </w:tr>
      <w:tr>
        <w:trPr/>
        <w:tc>
          <w:tcPr>
            <w:tcW w:w="189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i/>
              </w:rPr>
            </w:pPr>
            <w:r>
              <w:rPr>
                <w:i/>
              </w:rPr>
              <w:t>(Principal Executive Officer)</w:t>
            </w:r>
          </w:p>
        </w:tc>
      </w:tr>
      <w:tr>
        <w:trPr/>
        <w:tc>
          <w:tcPr>
            <w:tcW w:w="189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4384" w:type="dxa"/>
            <w:gridSpan w:val="2"/>
            <w:tcBorders>
              <w:bottom w:val="single" w:sz="12" w:space="0" w:color="000000"/>
            </w:tcBorders>
            <w:tcMar>
              <w:bottom w:w="28" w:type="dxa"/>
            </w:tcMar>
            <w:vAlign w:val="center"/>
          </w:tcPr>
          <w:p>
            <w:pPr>
              <w:pStyle w:val="TableContents"/>
              <w:bidi w:val="0"/>
              <w:spacing w:before="0" w:after="283"/>
              <w:jc w:val="left"/>
              <w:rPr/>
            </w:pPr>
            <w:r>
              <w:rPr/>
              <w:t xml:space="preserve">/s/ Katherine Williams </w:t>
            </w:r>
          </w:p>
        </w:tc>
      </w:tr>
      <w:tr>
        <w:trPr/>
        <w:tc>
          <w:tcPr>
            <w:tcW w:w="1895"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Name:</w:t>
            </w:r>
          </w:p>
        </w:tc>
        <w:tc>
          <w:tcPr>
            <w:tcW w:w="3338" w:type="dxa"/>
            <w:tcBorders/>
            <w:vAlign w:val="center"/>
          </w:tcPr>
          <w:p>
            <w:pPr>
              <w:pStyle w:val="TableContents"/>
              <w:bidi w:val="0"/>
              <w:spacing w:before="0" w:after="283"/>
              <w:jc w:val="left"/>
              <w:rPr/>
            </w:pPr>
            <w:r>
              <w:rPr/>
              <w:t>Katherine Williams</w:t>
            </w:r>
          </w:p>
        </w:tc>
      </w:tr>
      <w:tr>
        <w:trPr/>
        <w:tc>
          <w:tcPr>
            <w:tcW w:w="1895"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Title:</w:t>
            </w:r>
          </w:p>
        </w:tc>
        <w:tc>
          <w:tcPr>
            <w:tcW w:w="3338" w:type="dxa"/>
            <w:tcBorders/>
            <w:vAlign w:val="center"/>
          </w:tcPr>
          <w:p>
            <w:pPr>
              <w:pStyle w:val="TableContents"/>
              <w:bidi w:val="0"/>
              <w:spacing w:before="0" w:after="283"/>
              <w:jc w:val="left"/>
              <w:rPr/>
            </w:pPr>
            <w:r>
              <w:rPr/>
              <w:t>Chief Financial Officer</w:t>
            </w:r>
          </w:p>
        </w:tc>
      </w:tr>
      <w:tr>
        <w:trPr/>
        <w:tc>
          <w:tcPr>
            <w:tcW w:w="189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i/>
              </w:rPr>
            </w:pPr>
            <w:r>
              <w:rPr>
                <w:i/>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67627/000121390026090062/ea030068101ex31-1.htm" TargetMode="External"/><Relationship Id="rId3" Type="http://schemas.openxmlformats.org/officeDocument/2006/relationships/hyperlink" Target="https://www.sec.gov/Archives/edgar/data/2067627/000121390026090062/ea030068101ex31-2.htm" TargetMode="External"/><Relationship Id="rId4" Type="http://schemas.openxmlformats.org/officeDocument/2006/relationships/hyperlink" Target="https://www.sec.gov/Archives/edgar/data/2067627/000121390026090062/ea030068101ex32-1.htm" TargetMode="External"/><Relationship Id="rId5" Type="http://schemas.openxmlformats.org/officeDocument/2006/relationships/hyperlink" Target="https://www.sec.gov/Archives/edgar/data/2067627/000121390026090062/ea030068101ex32-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15026</Words>
  <Characters>84922</Characters>
  <CharactersWithSpaces>100861</CharactersWithSpaces>
  <Paragraphs>4035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