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9,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sz w:val="20"/>
        </w:rPr>
      </w:pPr>
      <w:r>
        <w:rPr>
          <w:sz w:val="20"/>
        </w:rPr>
      </w:r>
    </w:p>
    <w:tbl>
      <w:tblPr>
        <w:tblW w:w="8090" w:type="dxa"/>
        <w:jc w:val="left"/>
        <w:tblInd w:w="0" w:type="dxa"/>
        <w:tblLayout w:type="fixed"/>
        <w:tblCellMar>
          <w:top w:w="0" w:type="dxa"/>
          <w:left w:w="0" w:type="dxa"/>
          <w:bottom w:w="28" w:type="dxa"/>
          <w:right w:w="0" w:type="dxa"/>
        </w:tblCellMar>
      </w:tblPr>
      <w:tblGrid>
        <w:gridCol w:w="8090"/>
      </w:tblGrid>
      <w:tr>
        <w:trPr/>
        <w:tc>
          <w:tcPr>
            <w:tcW w:w="8090"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TERRA INNOVATUM GLOBAL N.V.</w:t>
            </w:r>
          </w:p>
        </w:tc>
      </w:tr>
      <w:tr>
        <w:trPr/>
        <w:tc>
          <w:tcPr>
            <w:tcW w:w="809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center"/>
        <w:rPr>
          <w:sz w:val="20"/>
        </w:rPr>
      </w:pPr>
      <w:r>
        <w:rPr>
          <w:sz w:val="20"/>
        </w:rPr>
      </w:r>
    </w:p>
    <w:tbl>
      <w:tblPr>
        <w:tblW w:w="8685" w:type="dxa"/>
        <w:jc w:val="left"/>
        <w:tblInd w:w="0" w:type="dxa"/>
        <w:tblLayout w:type="fixed"/>
        <w:tblCellMar>
          <w:top w:w="0" w:type="dxa"/>
          <w:left w:w="0" w:type="dxa"/>
          <w:bottom w:w="0" w:type="dxa"/>
          <w:right w:w="0" w:type="dxa"/>
        </w:tblCellMar>
      </w:tblPr>
      <w:tblGrid>
        <w:gridCol w:w="3575"/>
        <w:gridCol w:w="2210"/>
        <w:gridCol w:w="2900"/>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Netherlands</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001-42901</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center"/>
        <w:rPr>
          <w:sz w:val="20"/>
        </w:rPr>
      </w:pPr>
      <w:r>
        <w:rPr>
          <w:sz w:val="20"/>
        </w:rPr>
      </w:r>
    </w:p>
    <w:tbl>
      <w:tblPr>
        <w:tblW w:w="4225" w:type="dxa"/>
        <w:jc w:val="left"/>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Via Matteo Trenta 117, Lucca, Italy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55100</w:t>
            </w:r>
          </w:p>
        </w:tc>
      </w:tr>
      <w:tr>
        <w:trPr/>
        <w:tc>
          <w:tcPr>
            <w:tcW w:w="32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+39 0583 55797</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color w:val="000000"/>
              </w:rPr>
            </w:pPr>
            <w:r>
              <w:rPr>
                <w:color w:val="000000"/>
              </w:rPr>
              <w:t>☐</w:t>
            </w:r>
          </w:p>
        </w:tc>
        <w:tc>
          <w:tcPr>
            <w:tcW w:w="57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w:t>
            </w:r>
          </w:p>
        </w:tc>
      </w:tr>
    </w:tbl>
    <w:p>
      <w:pPr>
        <w:pStyle w:val="TextBody"/>
        <w:bidi w:val="0"/>
        <w:spacing w:before="0" w:after="0"/>
        <w:jc w:val="left"/>
        <w:rPr>
          <w:sz w:val="20"/>
        </w:rPr>
      </w:pPr>
      <w:r>
        <w:rPr>
          <w:sz w:val="20"/>
        </w:rPr>
      </w:r>
    </w:p>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before="0" w:after="283"/>
              <w:jc w:val="left"/>
              <w:rPr>
                <w:color w:val="000000"/>
              </w:rPr>
            </w:pPr>
            <w:r>
              <w:rPr>
                <w:color w:val="000000"/>
              </w:rPr>
              <w:t>☐</w:t>
            </w:r>
          </w:p>
        </w:tc>
        <w:tc>
          <w:tcPr>
            <w:tcW w:w="5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w:t>
            </w:r>
          </w:p>
        </w:tc>
      </w:tr>
    </w:tbl>
    <w:p>
      <w:pPr>
        <w:pStyle w:val="TextBody"/>
        <w:bidi w:val="0"/>
        <w:spacing w:before="0" w:after="0"/>
        <w:jc w:val="left"/>
        <w:rPr>
          <w:sz w:val="20"/>
        </w:rPr>
      </w:pPr>
      <w:r>
        <w:rPr>
          <w:sz w:val="20"/>
        </w:rPr>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color w:val="000000"/>
              </w:rPr>
            </w:pPr>
            <w:r>
              <w:rPr>
                <w:color w:val="000000"/>
              </w:rPr>
              <w:t>☐</w:t>
            </w:r>
          </w:p>
        </w:tc>
        <w:tc>
          <w:tcPr>
            <w:tcW w:w="71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w:t>
            </w:r>
          </w:p>
        </w:tc>
      </w:tr>
    </w:tbl>
    <w:p>
      <w:pPr>
        <w:pStyle w:val="TextBody"/>
        <w:bidi w:val="0"/>
        <w:spacing w:before="0" w:after="0"/>
        <w:jc w:val="left"/>
        <w:rPr>
          <w:sz w:val="20"/>
        </w:rPr>
      </w:pPr>
      <w:r>
        <w:rPr>
          <w:sz w:val="20"/>
        </w:rPr>
      </w:r>
    </w:p>
    <w:tbl>
      <w:tblPr>
        <w:tblW w:w="7375" w:type="dxa"/>
        <w:jc w:val="left"/>
        <w:tblInd w:w="0" w:type="dxa"/>
        <w:tblLayout w:type="fixed"/>
        <w:tblCellMar>
          <w:top w:w="0" w:type="dxa"/>
          <w:left w:w="0" w:type="dxa"/>
          <w:bottom w:w="0" w:type="dxa"/>
          <w:right w:w="0" w:type="dxa"/>
        </w:tblCellMar>
      </w:tblPr>
      <w:tblGrid>
        <w:gridCol w:w="245"/>
        <w:gridCol w:w="7130"/>
      </w:tblGrid>
      <w:tr>
        <w:trPr/>
        <w:tc>
          <w:tcPr>
            <w:tcW w:w="245" w:type="dxa"/>
            <w:tcBorders/>
            <w:vAlign w:val="center"/>
          </w:tcPr>
          <w:p>
            <w:pPr>
              <w:pStyle w:val="TableContents"/>
              <w:bidi w:val="0"/>
              <w:spacing w:before="0" w:after="283"/>
              <w:jc w:val="left"/>
              <w:rPr>
                <w:color w:val="000000"/>
              </w:rPr>
            </w:pPr>
            <w:r>
              <w:rPr>
                <w:color w:val="000000"/>
              </w:rPr>
              <w:t>☐</w:t>
            </w:r>
          </w:p>
        </w:tc>
        <w:tc>
          <w:tcPr>
            <w:tcW w:w="71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w:t>
            </w:r>
          </w:p>
        </w:tc>
      </w:tr>
    </w:tbl>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940" w:type="dxa"/>
        <w:jc w:val="left"/>
        <w:tblInd w:w="0" w:type="dxa"/>
        <w:tblLayout w:type="fixed"/>
        <w:tblCellMar>
          <w:top w:w="0" w:type="dxa"/>
          <w:left w:w="0" w:type="dxa"/>
          <w:bottom w:w="0" w:type="dxa"/>
          <w:right w:w="0" w:type="dxa"/>
        </w:tblCellMar>
      </w:tblPr>
      <w:tblGrid>
        <w:gridCol w:w="3635"/>
        <w:gridCol w:w="1610"/>
        <w:gridCol w:w="3695"/>
      </w:tblGrid>
      <w:tr>
        <w:trPr/>
        <w:tc>
          <w:tcPr>
            <w:tcW w:w="363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6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Ordinary Shares, par value of €0.01 per share</w:t>
            </w:r>
          </w:p>
        </w:tc>
        <w:tc>
          <w:tcPr>
            <w:tcW w:w="16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NKLR</w:t>
            </w:r>
          </w:p>
        </w:tc>
        <w:tc>
          <w:tcPr>
            <w:tcW w:w="36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25" w:type="dxa"/>
        <w:jc w:val="left"/>
        <w:tblInd w:w="0" w:type="dxa"/>
        <w:tblLayout w:type="fixed"/>
        <w:tblCellMar>
          <w:top w:w="0" w:type="dxa"/>
          <w:left w:w="0" w:type="dxa"/>
          <w:bottom w:w="0" w:type="dxa"/>
          <w:right w:w="0" w:type="dxa"/>
        </w:tblCellMar>
      </w:tblPr>
      <w:tblGrid>
        <w:gridCol w:w="830"/>
        <w:gridCol w:w="399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4.01</w:t>
            </w:r>
          </w:p>
        </w:tc>
        <w:tc>
          <w:tcPr>
            <w:tcW w:w="399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Changes in Registrant’s Certifying Accountant.</w:t>
            </w:r>
          </w:p>
        </w:tc>
      </w:tr>
    </w:tbl>
    <w:p>
      <w:pPr>
        <w:pStyle w:val="TextBody"/>
        <w:bidi w:val="0"/>
        <w:spacing w:before="0" w:after="0"/>
        <w:jc w:val="left"/>
        <w:rPr>
          <w:sz w:val="20"/>
        </w:rPr>
      </w:pPr>
      <w:r>
        <w:rPr>
          <w:sz w:val="20"/>
        </w:rPr>
      </w:r>
      <w:bookmarkStart w:id="0" w:name="z_Hlk182914559"/>
      <w:bookmarkStart w:id="1" w:name="z_Hlk182914559"/>
      <w:bookmarkEnd w:id="1"/>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(a) Dismissal of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bookmarkStart w:id="2" w:name="z_Hlk182914551"/>
      <w:bookmarkEnd w:id="2"/>
      <w:r>
        <w:rPr>
          <w:rFonts w:ascii="Times New Roman" w:hAnsi="Times New Roman"/>
          <w:color w:val="000000"/>
          <w:sz w:val="20"/>
          <w:shd w:fill="FFFFFF" w:val="clear"/>
        </w:rPr>
        <w:t>On October 9, 2026, the Audit Committee of the Board of Directors (the “Audit Committee”) of Terra Innovatum Global N.V. (the “Company”) dismissed KPMG Accountants N.V. (“KPMG”) as the Company’s independent registered public accounting firm, effective as of October 12, 2026. As described below, the change in independent registered public accounting firm is not the result of any disagreement with KPMG.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KPMG’s audit report on the Company’s financial statements as of and for the fiscal year ended December 31, 2025 did not contain an adverse opinion or a disclaimer of opinion and was not qualified or modified as to uncertainty, audit scope or accounting principles.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During the fiscal year ended December 31, 2025, the only fiscal year for which KPMG served as the Company’s independent registered public accounting firm, as well as the subsequent interim period through October 12, 2026, there were (i) no disagreements (as defined in Item 304(a)(1)(iv) of Regulation S-K) between the Company and KPMG on any matter of accounting principles or practices, financial statement disclosure, or auditing scope or procedure, which, if not resolved to KPMG’s satisfaction, would have caused KPMG to make reference thereto in its report on the financial statements for such period, and (ii) no reportable events (as defined in Item 304(a)(1)(v) of Regulation S-K), except for the material weaknesses in the Company’s internal control over financial reporting described in Part II, Item 9A of the Company’s Annual Report on Form 10-K for the fiscal year ended December 31, 2025 and Part I, Item 4 of the Company’s Quarterly Report on Form 10-Q for the quarter ended June 30, 2026, filed with the U.S. Securities and Exchange Commission (the “SEC”) on June 16, 2026 and August 14, 2026, respectively. The material weaknesses have not been remediated. The Audit Committee discussed the material weaknesses with KPMG, and the Company will authorize KPMG to respond fully to the inquiries of MaloneBailey, LLP (“MaloneBailey”), the Company’s expected successor independent registered public accounting firm, concerning such material weaknesses.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provided KPMG with a copy of the disclosures it is making in this Current Report on Form 8-K and requested that KPMG furnish a letter addressed to the SEC stating whether it agrees with the statements made herein. A copy of KPMG’s letter, dated October 16, 2026, is filed as Exhibit 16.1 to this Current Report on Form 8-K.</w:t>
      </w:r>
      <w:bookmarkStart w:id="3" w:name="z_Hlk182914610"/>
      <w:bookmarkEnd w:id="3"/>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 Engagement of New Independent Registered Public Accounting Firm</w:t>
      </w:r>
    </w:p>
    <w:p>
      <w:pPr>
        <w:pStyle w:val="TextBody"/>
        <w:bidi w:val="0"/>
        <w:spacing w:before="0" w:after="0"/>
        <w:jc w:val="left"/>
        <w:rPr>
          <w:rFonts w:ascii="Times New Roman" w:hAnsi="Times New Roman"/>
          <w:i/>
          <w:sz w:val="20"/>
        </w:rPr>
      </w:pPr>
      <w:r>
        <w:rPr>
          <w:rFonts w:ascii="Times New Roman" w:hAnsi="Times New Roman"/>
          <w:i/>
          <w:sz w:val="20"/>
        </w:rPr>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The Audit Committee has approved the engagement of MaloneBailey as the Company’s new independent registered public accounting firm for the fiscal year ending December 31, 2026, and the Company intends to engage MaloneBailey, subject to MaloneBailey’s completion of its standard client acceptance procedures. MaloneBailey previously served as the Company’s independent registered public accounting firm from April 29, 2025 to January 15, 2026.</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 of Exhibits</w:t>
            </w:r>
          </w:p>
        </w:tc>
      </w:tr>
      <w:tr>
        <w:trPr/>
        <w:tc>
          <w:tcPr>
            <w:tcW w:w="980" w:type="dxa"/>
            <w:tcBorders/>
            <w:tcMar>
              <w:bottom w:w="0" w:type="dxa"/>
            </w:tcMar>
            <w:vAlign w:val="center"/>
          </w:tcPr>
          <w:p>
            <w:pPr>
              <w:pStyle w:val="TableContents"/>
              <w:bidi w:val="0"/>
              <w:spacing w:before="0" w:after="0"/>
              <w:jc w:val="left"/>
              <w:rPr/>
            </w:pPr>
            <w:hyperlink w:anchor="ef20083892_ex16-1.htm">
              <w:r>
                <w:rPr>
                  <w:rStyle w:val="InternetLink"/>
                  <w:rFonts w:ascii="Times New Roman" w:hAnsi="Times New Roman"/>
                  <w:color w:val="000000"/>
                  <w:sz w:val="20"/>
                </w:rPr>
                <w:t>16.1</w:t>
              </w:r>
            </w:hyperlink>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Letter from KPMG Accountants N.V., dated October 16, 2026</w:t>
            </w:r>
          </w:p>
        </w:tc>
      </w:tr>
      <w:tr>
        <w:trPr/>
        <w:tc>
          <w:tcPr>
            <w:tcW w:w="9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124" w:type="dxa"/>
        <w:jc w:val="left"/>
        <w:tblInd w:w="0" w:type="dxa"/>
        <w:tblLayout w:type="fixed"/>
        <w:tblCellMar>
          <w:top w:w="0" w:type="dxa"/>
          <w:left w:w="0" w:type="dxa"/>
          <w:bottom w:w="0" w:type="dxa"/>
          <w:right w:w="0" w:type="dxa"/>
        </w:tblCellMar>
      </w:tblPr>
      <w:tblGrid>
        <w:gridCol w:w="2015"/>
        <w:gridCol w:w="682"/>
        <w:gridCol w:w="2427"/>
      </w:tblGrid>
      <w:tr>
        <w:trPr/>
        <w:tc>
          <w:tcPr>
            <w:tcW w:w="20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October 16, 2026</w:t>
            </w:r>
          </w:p>
        </w:tc>
        <w:tc>
          <w:tcPr>
            <w:tcW w:w="682" w:type="dxa"/>
            <w:tcBorders/>
            <w:vAlign w:val="center"/>
          </w:tcPr>
          <w:p>
            <w:pPr>
              <w:pStyle w:val="TableContents"/>
              <w:bidi w:val="0"/>
              <w:spacing w:before="0" w:after="283"/>
              <w:jc w:val="left"/>
              <w:rPr/>
            </w:pPr>
            <w:r>
              <w:rPr/>
              <w:t> </w:t>
            </w:r>
          </w:p>
        </w:tc>
        <w:tc>
          <w:tcPr>
            <w:tcW w:w="2427"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427"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TERRA INNOVATUM GLOBAL N.V.</w:t>
            </w:r>
          </w:p>
        </w:tc>
      </w:tr>
      <w:tr>
        <w:trPr/>
        <w:tc>
          <w:tcPr>
            <w:tcW w:w="201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2427"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42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Alessandro Petruzzi</w:t>
            </w:r>
          </w:p>
        </w:tc>
      </w:tr>
      <w:tr>
        <w:trPr/>
        <w:tc>
          <w:tcPr>
            <w:tcW w:w="201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42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Alessandro Petruzzi</w:t>
            </w:r>
          </w:p>
        </w:tc>
      </w:tr>
      <w:tr>
        <w:trPr/>
        <w:tc>
          <w:tcPr>
            <w:tcW w:w="201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42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4" w:name="ef20083892_ex16-1.htm"/>
      <w:bookmarkStart w:id="5" w:name="ksef20083892_ex161"/>
      <w:bookmarkStart w:id="6" w:name="ef20083892_ex16-1.htm"/>
      <w:bookmarkStart w:id="7" w:name="ksef20083892_ex161"/>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16.1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9144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400050"/>
                    </a:xfrm>
                    <a:prstGeom prst="rect">
                      <a:avLst/>
                    </a:prstGeom>
                  </pic:spPr>
                </pic:pic>
              </a:graphicData>
            </a:graphic>
          </wp:inline>
        </w:drawing>
      </w:r>
    </w:p>
    <w:p>
      <w:pPr>
        <w:pStyle w:val="Normal"/>
        <w:bidi w:val="0"/>
        <w:spacing w:before="0" w:after="0"/>
        <w:jc w:val="left"/>
        <w:rPr>
          <w:sz w:val="4"/>
          <w:szCs w:val="4"/>
        </w:rPr>
      </w:pPr>
      <w:r>
        <w:rPr>
          <w:sz w:val="4"/>
          <w:szCs w:val="4"/>
        </w:rPr>
      </w:r>
      <w:bookmarkStart w:id="8" w:name="zae0d4c02590542dcb6825eb8062fa201"/>
      <w:bookmarkStart w:id="9" w:name="zae0d4c02590542dcb6825eb8062fa201"/>
      <w:bookmarkEnd w:id="9"/>
    </w:p>
    <w:tbl>
      <w:tblPr>
        <w:tblW w:w="4720" w:type="dxa"/>
        <w:jc w:val="left"/>
        <w:tblInd w:w="0" w:type="dxa"/>
        <w:tblLayout w:type="fixed"/>
        <w:tblCellMar>
          <w:top w:w="0" w:type="dxa"/>
          <w:left w:w="0" w:type="dxa"/>
          <w:bottom w:w="0" w:type="dxa"/>
          <w:right w:w="0" w:type="dxa"/>
        </w:tblCellMar>
      </w:tblPr>
      <w:tblGrid>
        <w:gridCol w:w="60"/>
        <w:gridCol w:w="2105"/>
        <w:gridCol w:w="2555"/>
      </w:tblGrid>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KPMG Accountants N.V.</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Laan van Langerhuize 1</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1186 DS Amstelveen</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 Box 74500</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Netherlands</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1070 DB Amsterdam</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Telephone +31 (0)20 656 7890</w:t>
            </w:r>
          </w:p>
        </w:tc>
      </w:tr>
      <w:tr>
        <w:trPr/>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Netherlands</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www.kpmg.com/nl</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Confidential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 Washington, D.C. 20549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Amstelveen, October 16,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were previously principal accountants for Terra Innovatum Global N.V., and, under the date of June 15, 2026, we reported on the consolidated financial statements of Terra Innovatum Global N.V. as of and for the year ended December 31, 2025. On October 12, 2026, we were dismissed.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read Terra Innovatum’s statements included under Item 4.01 of its Form 8-K dated October 16, 2026, and we agree with such statements except we are not in a position to agree or disagree with Terra Innovatum‘s statement that the change was approved by the audit committee of the board of directors.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KPMG Accountants N.V.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87a727dfc6b5454a80a98908cf95f0c7"/>
      <w:bookmarkStart w:id="11" w:name="z87a727dfc6b5454a80a98908cf95f0c7"/>
      <w:bookmarkEnd w:id="11"/>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Document classification: KPMG Confidential</w:t>
            </w:r>
          </w:p>
        </w:tc>
      </w:tr>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KPMG Accountants N.V., a Dutch limited liability company registered with the trade register in the Netherlands under number 33263683, is a member firm of the global organization of independent member firms affiliated with KPMG International Limited, a private English company limited by guarantee.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1052</Words>
  <Characters>5785</Characters>
  <CharactersWithSpaces>6775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