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ea029709102-424b3_terra.htm"/>
      <w:bookmarkStart w:id="1" w:name="ksea029709102424b3_terra"/>
      <w:bookmarkEnd w:id="0"/>
      <w:bookmarkEnd w:id="1"/>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333-291423</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2</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December 15, 2025)</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5,475,593 Ordinary Shares Issuable Upon the Exercise of Warrants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94,804,436 Ordinary Shares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40,200,000 Ordinary Shares Issuable Upon the Mandatory Conversion of Outstanding Preferred Shares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no. 2 (this “Prospectus Supplement”) amends and supplements the prospectus dated December 15, 2025 (as may be supplemented or amended from time to time, the “Prospectus”), which forms part of our Registration Statement on Form S-1 (Registration Statement No. 333-291423). This Prospectus Supplement is being filed to update and supplement the information included or incorporated by reference in the Prospectus with the information contained in the attached Quarterly Report on Form 10-Q, filed with the Securities and Exchange Commission (the “Securities and Exchange Commission”) on July 1, 2026 (the “Form 10-Q”). Accordingly, we have attached the Form 10-Q to this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this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par value €0.01 per share (“Ordinary Shares”) are listed on The Nasdaq Stock Market LLC (“Nasdaq”) under the symbol “NKLR”. On July 2, 2026, the closing price of our Ordinary Shares as reported on Nasdaq was $4.62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that term is defined under the federal securities laws and, as such, are subject to certain reduced public company reporting requirements. </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section of our Annual Report on Form 10-K, filed with the Securities and Exchange Commission on June 16, 2026 (the “Form 10-K”), beginning on page 12 of the Form 10-K.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jc w:val="center"/>
        <w:rPr>
          <w:caps w:val="false"/>
          <w:smallCaps w:val="false"/>
        </w:rPr>
      </w:pPr>
      <w:r>
        <w:rPr>
          <w:caps w:val="false"/>
          <w:smallCaps w:val="false"/>
        </w:rPr>
        <w:t> </w:t>
      </w:r>
    </w:p>
    <w:p>
      <w:pPr>
        <w:pStyle w:val="TextBody"/>
        <w:bidi w:val="0"/>
        <w:ind w:left="0" w:right="0" w:hanging="0"/>
        <w:jc w:val="center"/>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July 6, 2026.</w:t>
      </w:r>
    </w:p>
    <w:p>
      <w:pPr>
        <w:pStyle w:val="TextBody"/>
        <w:bidi w:val="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6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r>
        <w:rPr>
          <w:rFonts w:ascii="Times New Roman;Times;Serif" w:hAnsi="Times New Roman;Times;Serif"/>
          <w:b w:val="false"/>
          <w:i w:val="false"/>
          <w:caps w:val="false"/>
          <w:smallCaps w:val="false"/>
          <w:sz w:val="20"/>
          <w:u w:val="single"/>
        </w:rPr>
        <w:t>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 to 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001-42901</w:t>
      </w:r>
    </w:p>
    <w:p>
      <w:pPr>
        <w:pStyle w:val="TextBody"/>
        <w:bidi w:val="0"/>
        <w:spacing w:before="0" w:after="0"/>
        <w:jc w:val="center"/>
        <w:rPr>
          <w:caps w:val="false"/>
          <w:smallCaps w:val="false"/>
        </w:rPr>
      </w:pPr>
      <w:r>
        <w:rPr>
          <w:caps w:val="false"/>
          <w:smallCaps w:val="false"/>
        </w:rPr>
        <w:t> </w:t>
      </w:r>
    </w:p>
    <w:tbl>
      <w:tblPr>
        <w:tblW w:w="4175" w:type="dxa"/>
        <w:jc w:val="left"/>
        <w:tblInd w:w="0" w:type="dxa"/>
        <w:tblLayout w:type="fixed"/>
        <w:tblCellMar>
          <w:top w:w="0" w:type="dxa"/>
          <w:left w:w="0" w:type="dxa"/>
          <w:bottom w:w="28" w:type="dxa"/>
          <w:right w:w="0" w:type="dxa"/>
        </w:tblCellMar>
      </w:tblPr>
      <w:tblGrid>
        <w:gridCol w:w="4175"/>
      </w:tblGrid>
      <w:tr>
        <w:trPr/>
        <w:tc>
          <w:tcPr>
            <w:tcW w:w="41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TERRA INNOVATUM GLOBAL N.V.</w:t>
            </w:r>
          </w:p>
        </w:tc>
      </w:tr>
      <w:tr>
        <w:trPr/>
        <w:tc>
          <w:tcPr>
            <w:tcW w:w="4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Netherlands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jc w:val="center"/>
        <w:rPr>
          <w:caps w:val="false"/>
          <w:smallCaps w:val="false"/>
        </w:rPr>
      </w:pPr>
      <w:r>
        <w:rPr>
          <w:caps w:val="false"/>
          <w:smallCaps w:val="false"/>
        </w:rPr>
        <w:t> </w:t>
      </w:r>
    </w:p>
    <w:tbl>
      <w:tblPr>
        <w:tblW w:w="4630" w:type="dxa"/>
        <w:jc w:val="left"/>
        <w:tblInd w:w="0" w:type="dxa"/>
        <w:tblLayout w:type="fixed"/>
        <w:tblCellMar>
          <w:top w:w="0" w:type="dxa"/>
          <w:left w:w="0" w:type="dxa"/>
          <w:bottom w:w="28" w:type="dxa"/>
          <w:right w:w="0" w:type="dxa"/>
        </w:tblCellMar>
      </w:tblPr>
      <w:tblGrid>
        <w:gridCol w:w="3650"/>
        <w:gridCol w:w="60"/>
        <w:gridCol w:w="920"/>
      </w:tblGrid>
      <w:tr>
        <w:trPr/>
        <w:tc>
          <w:tcPr>
            <w:tcW w:w="36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Via Matteo Trenta 117, Lucca, Italy 55100</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55100 LU</w:t>
            </w:r>
          </w:p>
        </w:tc>
      </w:tr>
      <w:tr>
        <w:trPr/>
        <w:tc>
          <w:tcPr>
            <w:tcW w:w="36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jc w:val="center"/>
        <w:rPr>
          <w:caps w:val="false"/>
          <w:smallCaps w:val="false"/>
        </w:rPr>
      </w:pPr>
      <w:r>
        <w:rPr>
          <w:caps w:val="false"/>
          <w:smallCaps w:val="false"/>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+39 0583 55797</w:t>
            </w:r>
          </w:p>
        </w:tc>
      </w:tr>
      <w:tr>
        <w:trPr/>
        <w:tc>
          <w:tcPr>
            <w:tcW w:w="43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(Registrant’s telephone number, including area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9090" w:type="dxa"/>
        <w:jc w:val="left"/>
        <w:tblInd w:w="0" w:type="dxa"/>
        <w:tblLayout w:type="fixed"/>
        <w:tblCellMar>
          <w:top w:w="0" w:type="dxa"/>
          <w:left w:w="0" w:type="dxa"/>
          <w:bottom w:w="28" w:type="dxa"/>
          <w:right w:w="0" w:type="dxa"/>
        </w:tblCellMar>
      </w:tblPr>
      <w:tblGrid>
        <w:gridCol w:w="3650"/>
        <w:gridCol w:w="60"/>
        <w:gridCol w:w="1610"/>
        <w:gridCol w:w="60"/>
        <w:gridCol w:w="3710"/>
      </w:tblGrid>
      <w:tr>
        <w:trPr/>
        <w:tc>
          <w:tcPr>
            <w:tcW w:w="36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Ordinary Shares, par value of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NKLR</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last business day of our most recently completed second fiscal quarter), based upon the last reported trade on that date, the aggregate market value of the voting and non-voting common equity held by non-affiliates (for this purpose, all outstanding and issued ordinary shares minus shares held by the officers, directors and known holders of 10% or more of the Company’s ordinary shares) was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29, 2026, there were a total of 110,500,908 ordinary shares of the registrant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Quarterly Report on Form 10-Q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 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925" w:type="dxa"/>
        <w:jc w:val="left"/>
        <w:tblInd w:w="0" w:type="dxa"/>
        <w:tblLayout w:type="fixed"/>
        <w:tblCellMar>
          <w:top w:w="0" w:type="dxa"/>
          <w:left w:w="0" w:type="dxa"/>
          <w:bottom w:w="0" w:type="dxa"/>
          <w:right w:w="0" w:type="dxa"/>
        </w:tblCellMar>
      </w:tblPr>
      <w:tblGrid>
        <w:gridCol w:w="725"/>
        <w:gridCol w:w="7925"/>
        <w:gridCol w:w="275"/>
      </w:tblGrid>
      <w:tr>
        <w:trPr/>
        <w:tc>
          <w:tcPr>
            <w:tcW w:w="8925" w:type="dxa"/>
            <w:gridSpan w:val="3"/>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sz w:val="20"/>
                </w:rPr>
                <w:t>PART I</w:t>
              </w:r>
            </w:hyperlink>
          </w:p>
        </w:tc>
      </w:tr>
      <w:tr>
        <w:trPr/>
        <w:tc>
          <w:tcPr>
            <w:tcW w:w="725" w:type="dxa"/>
            <w:tcBorders/>
            <w:shd w:fill="FFFFFF" w:val="clear"/>
            <w:vAlign w:val="center"/>
          </w:tcPr>
          <w:p>
            <w:pPr>
              <w:pStyle w:val="TableContents"/>
              <w:bidi w:val="0"/>
              <w:spacing w:before="0" w:after="283"/>
              <w:ind w:left="0" w:right="0" w:hanging="180"/>
              <w:jc w:val="left"/>
              <w:rPr/>
            </w:pPr>
            <w:r>
              <w:rPr/>
              <w:t> </w:t>
            </w:r>
          </w:p>
        </w:tc>
        <w:tc>
          <w:tcPr>
            <w:tcW w:w="792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w:t>
            </w:r>
          </w:p>
        </w:tc>
        <w:tc>
          <w:tcPr>
            <w:tcW w:w="792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Financial Statements.</w:t>
              </w:r>
            </w:hyperlink>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2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2.</w:t>
            </w:r>
          </w:p>
        </w:tc>
        <w:tc>
          <w:tcPr>
            <w:tcW w:w="7925"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Management’s Discussion and Analysis of Financial Condition and Results of Operations.</w:t>
              </w:r>
            </w:hyperlink>
          </w:p>
        </w:tc>
        <w:tc>
          <w:tcPr>
            <w:tcW w:w="275" w:type="dxa"/>
            <w:tcBorders/>
            <w:shd w:fill="FFFFFF" w:val="clear"/>
            <w:vAlign w:val="center"/>
          </w:tcPr>
          <w:p>
            <w:pPr>
              <w:pStyle w:val="TableContents"/>
              <w:bidi w:val="0"/>
              <w:spacing w:before="0" w:after="283"/>
              <w:jc w:val="center"/>
              <w:rPr/>
            </w:pPr>
            <w:r>
              <w:rPr/>
              <w:t>16</w:t>
            </w:r>
          </w:p>
        </w:tc>
      </w:tr>
      <w:tr>
        <w:trPr/>
        <w:tc>
          <w:tcPr>
            <w:tcW w:w="72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3.</w:t>
            </w:r>
          </w:p>
        </w:tc>
        <w:tc>
          <w:tcPr>
            <w:tcW w:w="792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Quantitative and Qualitative Disclosures About Market Risk.</w:t>
              </w:r>
            </w:hyperlink>
          </w:p>
        </w:tc>
        <w:tc>
          <w:tcPr>
            <w:tcW w:w="275" w:type="dxa"/>
            <w:tcBorders/>
            <w:shd w:fill="CCEEFF" w:val="clear"/>
            <w:vAlign w:val="center"/>
          </w:tcPr>
          <w:p>
            <w:pPr>
              <w:pStyle w:val="TableContents"/>
              <w:bidi w:val="0"/>
              <w:spacing w:before="0" w:after="283"/>
              <w:jc w:val="center"/>
              <w:rPr/>
            </w:pPr>
            <w:r>
              <w:rPr/>
              <w:t>23</w:t>
            </w:r>
          </w:p>
        </w:tc>
      </w:tr>
      <w:tr>
        <w:trPr/>
        <w:tc>
          <w:tcPr>
            <w:tcW w:w="72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4.</w:t>
            </w:r>
          </w:p>
        </w:tc>
        <w:tc>
          <w:tcPr>
            <w:tcW w:w="7925"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Controls and Procedures.</w:t>
              </w:r>
            </w:hyperlink>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725" w:type="dxa"/>
            <w:tcBorders/>
            <w:shd w:fill="CCEEFF" w:val="clear"/>
            <w:vAlign w:val="center"/>
          </w:tcPr>
          <w:p>
            <w:pPr>
              <w:pStyle w:val="TableContents"/>
              <w:bidi w:val="0"/>
              <w:spacing w:before="0" w:after="283"/>
              <w:ind w:left="0" w:right="0" w:hanging="180"/>
              <w:jc w:val="left"/>
              <w:rPr/>
            </w:pPr>
            <w:r>
              <w:rPr/>
              <w:t> </w:t>
            </w:r>
          </w:p>
        </w:tc>
        <w:tc>
          <w:tcPr>
            <w:tcW w:w="792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8925" w:type="dxa"/>
            <w:gridSpan w:val="3"/>
            <w:tcBorders/>
            <w:shd w:fill="FFFFFF" w:val="clear"/>
            <w:vAlign w:val="center"/>
          </w:tcPr>
          <w:p>
            <w:pPr>
              <w:pStyle w:val="TableContents"/>
              <w:bidi w:val="0"/>
              <w:spacing w:before="0" w:after="283"/>
              <w:jc w:val="center"/>
              <w:rPr/>
            </w:pPr>
            <w:hyperlink w:anchor="a_006">
              <w:r>
                <w:rPr>
                  <w:rStyle w:val="InternetLink"/>
                  <w:rFonts w:ascii="Times New Roman;Times;Serif" w:hAnsi="Times New Roman;Times;Serif"/>
                  <w:sz w:val="20"/>
                </w:rPr>
                <w:t>PART II</w:t>
              </w:r>
            </w:hyperlink>
          </w:p>
        </w:tc>
      </w:tr>
      <w:tr>
        <w:trPr/>
        <w:tc>
          <w:tcPr>
            <w:tcW w:w="725" w:type="dxa"/>
            <w:tcBorders/>
            <w:shd w:fill="CCEEFF" w:val="clear"/>
            <w:vAlign w:val="center"/>
          </w:tcPr>
          <w:p>
            <w:pPr>
              <w:pStyle w:val="TableContents"/>
              <w:bidi w:val="0"/>
              <w:spacing w:before="0" w:after="283"/>
              <w:ind w:left="0" w:right="0" w:hanging="180"/>
              <w:jc w:val="left"/>
              <w:rPr/>
            </w:pPr>
            <w:r>
              <w:rPr/>
              <w:t> </w:t>
            </w:r>
          </w:p>
        </w:tc>
        <w:tc>
          <w:tcPr>
            <w:tcW w:w="792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w:t>
            </w:r>
          </w:p>
        </w:tc>
        <w:tc>
          <w:tcPr>
            <w:tcW w:w="7925"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Legal Proceedings.</w:t>
              </w:r>
            </w:hyperlink>
          </w:p>
        </w:tc>
        <w:tc>
          <w:tcPr>
            <w:tcW w:w="275" w:type="dxa"/>
            <w:tcBorders/>
            <w:shd w:fill="FFFFFF" w:val="clear"/>
            <w:vAlign w:val="center"/>
          </w:tcPr>
          <w:p>
            <w:pPr>
              <w:pStyle w:val="TableContents"/>
              <w:bidi w:val="0"/>
              <w:spacing w:before="0" w:after="283"/>
              <w:jc w:val="center"/>
              <w:rPr/>
            </w:pPr>
            <w:r>
              <w:rPr/>
              <w:t>26</w:t>
            </w:r>
          </w:p>
        </w:tc>
      </w:tr>
      <w:tr>
        <w:trPr/>
        <w:tc>
          <w:tcPr>
            <w:tcW w:w="72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1A.</w:t>
            </w:r>
          </w:p>
        </w:tc>
        <w:tc>
          <w:tcPr>
            <w:tcW w:w="792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 xml:space="preserve">Risk Factors. </w:t>
              </w:r>
            </w:hyperlink>
          </w:p>
        </w:tc>
        <w:tc>
          <w:tcPr>
            <w:tcW w:w="275" w:type="dxa"/>
            <w:tcBorders/>
            <w:shd w:fill="CCEEFF" w:val="clear"/>
            <w:vAlign w:val="center"/>
          </w:tcPr>
          <w:p>
            <w:pPr>
              <w:pStyle w:val="TableContents"/>
              <w:bidi w:val="0"/>
              <w:spacing w:before="0" w:after="283"/>
              <w:jc w:val="center"/>
              <w:rPr/>
            </w:pPr>
            <w:r>
              <w:rPr/>
              <w:t>26</w:t>
            </w:r>
          </w:p>
        </w:tc>
      </w:tr>
      <w:tr>
        <w:trPr/>
        <w:tc>
          <w:tcPr>
            <w:tcW w:w="72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2.</w:t>
            </w:r>
          </w:p>
        </w:tc>
        <w:tc>
          <w:tcPr>
            <w:tcW w:w="7925"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Unregistered Sales of Equity Securities, Use of Proceeds and Issuer Purchases of Equity Securities.</w:t>
              </w:r>
            </w:hyperlink>
          </w:p>
        </w:tc>
        <w:tc>
          <w:tcPr>
            <w:tcW w:w="275" w:type="dxa"/>
            <w:tcBorders/>
            <w:shd w:fill="FFFFFF" w:val="clear"/>
            <w:vAlign w:val="center"/>
          </w:tcPr>
          <w:p>
            <w:pPr>
              <w:pStyle w:val="TableContents"/>
              <w:bidi w:val="0"/>
              <w:spacing w:before="0" w:after="283"/>
              <w:jc w:val="center"/>
              <w:rPr/>
            </w:pPr>
            <w:r>
              <w:rPr/>
              <w:t>26</w:t>
            </w:r>
          </w:p>
        </w:tc>
      </w:tr>
      <w:tr>
        <w:trPr/>
        <w:tc>
          <w:tcPr>
            <w:tcW w:w="72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3.</w:t>
            </w:r>
          </w:p>
        </w:tc>
        <w:tc>
          <w:tcPr>
            <w:tcW w:w="792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Defaults Upon Senior Securities.</w:t>
              </w:r>
            </w:hyperlink>
          </w:p>
        </w:tc>
        <w:tc>
          <w:tcPr>
            <w:tcW w:w="275" w:type="dxa"/>
            <w:tcBorders/>
            <w:shd w:fill="CCEEFF" w:val="clear"/>
            <w:vAlign w:val="center"/>
          </w:tcPr>
          <w:p>
            <w:pPr>
              <w:pStyle w:val="TableContents"/>
              <w:bidi w:val="0"/>
              <w:spacing w:before="0" w:after="283"/>
              <w:jc w:val="center"/>
              <w:rPr/>
            </w:pPr>
            <w:r>
              <w:rPr/>
              <w:t>26</w:t>
            </w:r>
          </w:p>
        </w:tc>
      </w:tr>
      <w:tr>
        <w:trPr/>
        <w:tc>
          <w:tcPr>
            <w:tcW w:w="72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4.</w:t>
            </w:r>
          </w:p>
        </w:tc>
        <w:tc>
          <w:tcPr>
            <w:tcW w:w="7925"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Mine Safety Disclosures.</w:t>
              </w:r>
            </w:hyperlink>
          </w:p>
        </w:tc>
        <w:tc>
          <w:tcPr>
            <w:tcW w:w="275" w:type="dxa"/>
            <w:tcBorders/>
            <w:shd w:fill="FFFFFF" w:val="clear"/>
            <w:vAlign w:val="center"/>
          </w:tcPr>
          <w:p>
            <w:pPr>
              <w:pStyle w:val="TableContents"/>
              <w:bidi w:val="0"/>
              <w:spacing w:before="0" w:after="283"/>
              <w:jc w:val="center"/>
              <w:rPr/>
            </w:pPr>
            <w:r>
              <w:rPr/>
              <w:t>26</w:t>
            </w:r>
          </w:p>
        </w:tc>
      </w:tr>
      <w:tr>
        <w:trPr/>
        <w:tc>
          <w:tcPr>
            <w:tcW w:w="72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5.</w:t>
            </w:r>
          </w:p>
        </w:tc>
        <w:tc>
          <w:tcPr>
            <w:tcW w:w="792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Other Information.</w:t>
              </w:r>
            </w:hyperlink>
          </w:p>
        </w:tc>
        <w:tc>
          <w:tcPr>
            <w:tcW w:w="275" w:type="dxa"/>
            <w:tcBorders/>
            <w:shd w:fill="CCEEFF" w:val="clear"/>
            <w:vAlign w:val="center"/>
          </w:tcPr>
          <w:p>
            <w:pPr>
              <w:pStyle w:val="TableContents"/>
              <w:bidi w:val="0"/>
              <w:spacing w:before="0" w:after="283"/>
              <w:jc w:val="center"/>
              <w:rPr/>
            </w:pPr>
            <w:r>
              <w:rPr/>
              <w:t>26</w:t>
            </w:r>
          </w:p>
        </w:tc>
      </w:tr>
      <w:tr>
        <w:trPr/>
        <w:tc>
          <w:tcPr>
            <w:tcW w:w="72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6.</w:t>
            </w:r>
          </w:p>
        </w:tc>
        <w:tc>
          <w:tcPr>
            <w:tcW w:w="7925"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Exhibits.</w:t>
              </w:r>
            </w:hyperlink>
          </w:p>
        </w:tc>
        <w:tc>
          <w:tcPr>
            <w:tcW w:w="275" w:type="dxa"/>
            <w:tcBorders/>
            <w:shd w:fill="FFFFFF" w:val="clear"/>
            <w:vAlign w:val="center"/>
          </w:tcPr>
          <w:p>
            <w:pPr>
              <w:pStyle w:val="TableContents"/>
              <w:bidi w:val="0"/>
              <w:spacing w:before="0" w:after="283"/>
              <w:jc w:val="center"/>
              <w:rPr/>
            </w:pPr>
            <w:r>
              <w:rPr/>
              <w:t>27</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Section 27A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All statements contained in this Form 10-Q, other than statements of historical fact, are based on our management’s beliefs and assumptions and on information currently available to us. These statements relate to future events or to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goals and strategies, including our ability to build and commercialize a micro-modular nuclear reactor;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future business development, financial condition and results of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changes in our revenue, costs or expenditures;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growth of and competition trends in our industry;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expectations regarding demand for, and market acceptance of, our products;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expectations regarding our relationships with investors, institutional funding partners and other parties with whom we collaborate;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fluctuations in general economic and business conditions in the markets in which we operate;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relevant government policies and regulations relating to our industry.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“may,” “could,” “will,” “should,” “would,” “expect,” “plan,” “intend,” “anticipate,” “believe,” “estimate,” “predict,” “potential,” “project” or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Part II, Item 1A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of our Annual Report filed on Form 10-K and elsewhere in this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“we expect,” “we anticipate”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report relate only to events or information as of the date on which the statements are made in this report. Except as expressly required by the federal securities laws, there is no undertaking to publicly update or revise any forward-looking statements, whether as a result of new information, future events, changed circumstances or any other reason after the date of this report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report and the documents that we reference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report.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br/>
        <w:t>(formerly Terra Innovatum Global Srl.)</w:t>
        <w:br/>
        <w:t>Interim Condensed Consolidated Balance Sheets</w:t>
        <w:br/>
      </w:r>
      <w:r>
        <w:rPr>
          <w:rFonts w:ascii="Times New Roman;Times;Serif" w:hAnsi="Times New Roman;Times;Serif"/>
          <w:b/>
          <w:i/>
          <w:caps w:val="false"/>
          <w:smallCaps w:val="false"/>
          <w:sz w:val="20"/>
        </w:rPr>
        <w:t>(all amounts in USD)(in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6"/>
        <w:gridCol w:w="60"/>
        <w:gridCol w:w="151"/>
        <w:gridCol w:w="949"/>
        <w:gridCol w:w="95"/>
        <w:gridCol w:w="60"/>
        <w:gridCol w:w="158"/>
        <w:gridCol w:w="995"/>
        <w:gridCol w:w="291"/>
      </w:tblGrid>
      <w:tr>
        <w:trPr/>
        <w:tc>
          <w:tcPr>
            <w:tcW w:w="74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283"/>
              <w:jc w:val="center"/>
              <w:rPr>
                <w:b/>
              </w:rPr>
            </w:pPr>
            <w:r>
              <w:rPr>
                <w:b/>
              </w:rPr>
              <w:t>December 31,</w:t>
            </w:r>
          </w:p>
        </w:tc>
        <w:tc>
          <w:tcPr>
            <w:tcW w:w="291" w:type="dxa"/>
            <w:tcBorders/>
            <w:vAlign w:val="center"/>
          </w:tcPr>
          <w:p>
            <w:pPr>
              <w:pStyle w:val="TableContents"/>
              <w:bidi w:val="0"/>
              <w:spacing w:before="0" w:after="283"/>
              <w:jc w:val="left"/>
              <w:rPr/>
            </w:pPr>
            <w:r>
              <w:rPr/>
              <w:t> </w:t>
            </w:r>
          </w:p>
        </w:tc>
      </w:tr>
      <w:tr>
        <w:trPr/>
        <w:tc>
          <w:tcPr>
            <w:tcW w:w="74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91" w:type="dxa"/>
            <w:tcBorders/>
            <w:vAlign w:val="center"/>
          </w:tcPr>
          <w:p>
            <w:pPr>
              <w:pStyle w:val="TableContents"/>
              <w:bidi w:val="0"/>
              <w:spacing w:before="0" w:after="283"/>
              <w:jc w:val="left"/>
              <w:rPr/>
            </w:pPr>
            <w:r>
              <w:rPr/>
              <w:t> </w:t>
            </w:r>
          </w:p>
        </w:tc>
      </w:tr>
      <w:tr>
        <w:trPr/>
        <w:tc>
          <w:tcPr>
            <w:tcW w:w="74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left"/>
              <w:rPr/>
            </w:pPr>
            <w:r>
              <w:rPr/>
              <w:t> </w:t>
            </w:r>
          </w:p>
        </w:tc>
      </w:tr>
      <w:tr>
        <w:trPr/>
        <w:tc>
          <w:tcPr>
            <w:tcW w:w="7446"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left"/>
              <w:rPr/>
            </w:pPr>
            <w:r>
              <w:rPr/>
              <w:t> </w:t>
            </w:r>
          </w:p>
        </w:tc>
      </w:tr>
      <w:tr>
        <w:trPr/>
        <w:tc>
          <w:tcPr>
            <w:tcW w:w="7446"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ind w:left="0" w:right="0" w:firstLine="180"/>
              <w:jc w:val="left"/>
              <w:rPr/>
            </w:pPr>
            <w:r>
              <w:rPr/>
              <w:t> </w:t>
            </w:r>
          </w:p>
        </w:tc>
      </w:tr>
      <w:tr>
        <w:trPr/>
        <w:tc>
          <w:tcPr>
            <w:tcW w:w="7446"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96,701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102,882</w:t>
            </w:r>
          </w:p>
        </w:tc>
        <w:tc>
          <w:tcPr>
            <w:tcW w:w="291" w:type="dxa"/>
            <w:tcBorders/>
            <w:shd w:fill="CCEEFF" w:val="clear"/>
            <w:vAlign w:val="center"/>
          </w:tcPr>
          <w:p>
            <w:pPr>
              <w:pStyle w:val="TableContents"/>
              <w:bidi w:val="0"/>
              <w:spacing w:before="0" w:after="283"/>
              <w:ind w:left="0" w:right="0" w:firstLine="180"/>
              <w:jc w:val="left"/>
              <w:rPr/>
            </w:pPr>
            <w:r>
              <w:rPr/>
              <w:t> </w:t>
            </w:r>
          </w:p>
        </w:tc>
      </w:tr>
      <w:tr>
        <w:trPr/>
        <w:tc>
          <w:tcPr>
            <w:tcW w:w="7446"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4</w:t>
            </w:r>
          </w:p>
        </w:tc>
        <w:tc>
          <w:tcPr>
            <w:tcW w:w="291" w:type="dxa"/>
            <w:tcBorders/>
            <w:shd w:fill="FFFFFF" w:val="clear"/>
            <w:vAlign w:val="center"/>
          </w:tcPr>
          <w:p>
            <w:pPr>
              <w:pStyle w:val="TableContents"/>
              <w:bidi w:val="0"/>
              <w:spacing w:before="0" w:after="283"/>
              <w:ind w:left="0" w:right="0" w:firstLine="180"/>
              <w:jc w:val="left"/>
              <w:rPr/>
            </w:pPr>
            <w:r>
              <w:rPr/>
              <w:t> </w:t>
            </w:r>
          </w:p>
        </w:tc>
      </w:tr>
      <w:tr>
        <w:trPr/>
        <w:tc>
          <w:tcPr>
            <w:tcW w:w="7446"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pPr>
            <w:r>
              <w:rPr/>
              <w:t>4,781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pPr>
            <w:r>
              <w:rPr/>
              <w:t>3,148</w:t>
            </w:r>
          </w:p>
        </w:tc>
        <w:tc>
          <w:tcPr>
            <w:tcW w:w="291" w:type="dxa"/>
            <w:tcBorders/>
            <w:shd w:fill="CCEEFF" w:val="clear"/>
            <w:vAlign w:val="center"/>
          </w:tcPr>
          <w:p>
            <w:pPr>
              <w:pStyle w:val="TableContents"/>
              <w:bidi w:val="0"/>
              <w:spacing w:before="0" w:after="283"/>
              <w:jc w:val="left"/>
              <w:rPr/>
            </w:pPr>
            <w:r>
              <w:rPr/>
              <w:t> </w:t>
            </w:r>
          </w:p>
        </w:tc>
      </w:tr>
      <w:tr>
        <w:trPr/>
        <w:tc>
          <w:tcPr>
            <w:tcW w:w="7446"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b/>
              </w:rPr>
            </w:pPr>
            <w:r>
              <w:rPr>
                <w:b/>
              </w:rPr>
              <w:t>101,482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b/>
              </w:rPr>
            </w:pPr>
            <w:r>
              <w:rPr>
                <w:b/>
              </w:rPr>
              <w:t>106,034</w:t>
            </w:r>
          </w:p>
        </w:tc>
        <w:tc>
          <w:tcPr>
            <w:tcW w:w="291" w:type="dxa"/>
            <w:tcBorders/>
            <w:shd w:fill="FFFFFF" w:val="clear"/>
            <w:vAlign w:val="center"/>
          </w:tcPr>
          <w:p>
            <w:pPr>
              <w:pStyle w:val="TableContents"/>
              <w:bidi w:val="0"/>
              <w:spacing w:before="0" w:after="283"/>
              <w:ind w:left="0" w:right="0" w:firstLine="180"/>
              <w:jc w:val="left"/>
              <w:rPr/>
            </w:pPr>
            <w:r>
              <w:rPr/>
              <w:t> </w:t>
            </w:r>
          </w:p>
        </w:tc>
      </w:tr>
      <w:tr>
        <w:trPr/>
        <w:tc>
          <w:tcPr>
            <w:tcW w:w="7446" w:type="dxa"/>
            <w:tcBorders/>
            <w:shd w:fill="CCEEFF" w:val="clear"/>
            <w:vAlign w:val="center"/>
          </w:tcPr>
          <w:p>
            <w:pPr>
              <w:pStyle w:val="TableContents"/>
              <w:bidi w:val="0"/>
              <w:spacing w:before="0" w:after="283"/>
              <w:jc w:val="left"/>
              <w:rPr/>
            </w:pPr>
            <w:r>
              <w:rPr/>
              <w:t>Equipment, net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pPr>
            <w:r>
              <w:rPr/>
              <w:t>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pPr>
            <w:r>
              <w:rPr/>
              <w:t>102</w:t>
            </w:r>
          </w:p>
        </w:tc>
        <w:tc>
          <w:tcPr>
            <w:tcW w:w="291" w:type="dxa"/>
            <w:tcBorders/>
            <w:shd w:fill="CCEEFF" w:val="clear"/>
            <w:vAlign w:val="center"/>
          </w:tcPr>
          <w:p>
            <w:pPr>
              <w:pStyle w:val="TableContents"/>
              <w:bidi w:val="0"/>
              <w:spacing w:before="0" w:after="283"/>
              <w:jc w:val="left"/>
              <w:rPr/>
            </w:pPr>
            <w:r>
              <w:rPr/>
              <w:t> </w:t>
            </w:r>
          </w:p>
        </w:tc>
      </w:tr>
      <w:tr>
        <w:trPr/>
        <w:tc>
          <w:tcPr>
            <w:tcW w:w="7446"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4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101,899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106,136</w:t>
            </w:r>
          </w:p>
        </w:tc>
        <w:tc>
          <w:tcPr>
            <w:tcW w:w="291" w:type="dxa"/>
            <w:tcBorders/>
            <w:shd w:fill="FFFFFF" w:val="clear"/>
            <w:vAlign w:val="center"/>
          </w:tcPr>
          <w:p>
            <w:pPr>
              <w:pStyle w:val="TableContents"/>
              <w:bidi w:val="0"/>
              <w:spacing w:before="0" w:after="283"/>
              <w:jc w:val="left"/>
              <w:rPr/>
            </w:pPr>
            <w:r>
              <w:rPr/>
              <w:t> </w:t>
            </w:r>
          </w:p>
        </w:tc>
      </w:tr>
      <w:tr>
        <w:trPr/>
        <w:tc>
          <w:tcPr>
            <w:tcW w:w="7446" w:type="dxa"/>
            <w:tcBorders/>
            <w:shd w:fill="CCEEFF" w:val="clear"/>
            <w:vAlign w:val="center"/>
          </w:tcPr>
          <w:p>
            <w:pPr>
              <w:pStyle w:val="TableContents"/>
              <w:bidi w:val="0"/>
              <w:spacing w:before="0" w:after="283"/>
              <w:jc w:val="left"/>
              <w:rPr>
                <w:b/>
              </w:rPr>
            </w:pPr>
            <w:r>
              <w:rPr>
                <w:b/>
              </w:rPr>
              <w:t>Liabilities and shareholders’ deficit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7446"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80"/>
              <w:jc w:val="left"/>
              <w:rPr/>
            </w:pPr>
            <w:r>
              <w:rPr/>
              <w:t> </w:t>
            </w:r>
          </w:p>
        </w:tc>
      </w:tr>
      <w:tr>
        <w:trPr/>
        <w:tc>
          <w:tcPr>
            <w:tcW w:w="7446"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1,150</w:t>
            </w:r>
          </w:p>
        </w:tc>
        <w:tc>
          <w:tcPr>
            <w:tcW w:w="291" w:type="dxa"/>
            <w:tcBorders/>
            <w:shd w:fill="CCEEFF" w:val="clear"/>
            <w:vAlign w:val="center"/>
          </w:tcPr>
          <w:p>
            <w:pPr>
              <w:pStyle w:val="TableContents"/>
              <w:bidi w:val="0"/>
              <w:spacing w:before="0" w:after="283"/>
              <w:ind w:left="0" w:right="0" w:firstLine="180"/>
              <w:jc w:val="left"/>
              <w:rPr/>
            </w:pPr>
            <w:r>
              <w:rPr/>
              <w:t> </w:t>
            </w:r>
          </w:p>
        </w:tc>
      </w:tr>
      <w:tr>
        <w:trPr/>
        <w:tc>
          <w:tcPr>
            <w:tcW w:w="7446"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4,018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FFFFFF" w:val="clear"/>
            <w:tcMar>
              <w:bottom w:w="28" w:type="dxa"/>
            </w:tcMar>
            <w:vAlign w:val="center"/>
          </w:tcPr>
          <w:p>
            <w:pPr>
              <w:pStyle w:val="TableContents"/>
              <w:bidi w:val="0"/>
              <w:spacing w:before="0" w:after="283"/>
              <w:jc w:val="right"/>
              <w:rPr/>
            </w:pPr>
            <w:r>
              <w:rPr/>
              <w:t>2,009</w:t>
            </w:r>
          </w:p>
        </w:tc>
        <w:tc>
          <w:tcPr>
            <w:tcW w:w="291" w:type="dxa"/>
            <w:tcBorders/>
            <w:shd w:fill="FFFFFF" w:val="clear"/>
            <w:vAlign w:val="center"/>
          </w:tcPr>
          <w:p>
            <w:pPr>
              <w:pStyle w:val="TableContents"/>
              <w:bidi w:val="0"/>
              <w:spacing w:before="0" w:after="283"/>
              <w:jc w:val="left"/>
              <w:rPr/>
            </w:pPr>
            <w:r>
              <w:rPr/>
              <w:t> </w:t>
            </w:r>
          </w:p>
        </w:tc>
      </w:tr>
      <w:tr>
        <w:trPr/>
        <w:tc>
          <w:tcPr>
            <w:tcW w:w="7446"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b/>
              </w:rPr>
            </w:pPr>
            <w:r>
              <w:rPr>
                <w:b/>
              </w:rPr>
              <w:t>4,755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b/>
              </w:rPr>
            </w:pPr>
            <w:r>
              <w:rPr>
                <w:b/>
              </w:rPr>
              <w:t>3,159</w:t>
            </w:r>
          </w:p>
        </w:tc>
        <w:tc>
          <w:tcPr>
            <w:tcW w:w="291" w:type="dxa"/>
            <w:tcBorders/>
            <w:shd w:fill="CCEEFF" w:val="clear"/>
            <w:vAlign w:val="center"/>
          </w:tcPr>
          <w:p>
            <w:pPr>
              <w:pStyle w:val="TableContents"/>
              <w:bidi w:val="0"/>
              <w:spacing w:before="0" w:after="283"/>
              <w:ind w:left="0" w:right="0" w:firstLine="180"/>
              <w:jc w:val="left"/>
              <w:rPr/>
            </w:pPr>
            <w:r>
              <w:rPr/>
              <w:t> </w:t>
            </w:r>
          </w:p>
        </w:tc>
      </w:tr>
      <w:tr>
        <w:trPr/>
        <w:tc>
          <w:tcPr>
            <w:tcW w:w="7446" w:type="dxa"/>
            <w:tcBorders/>
            <w:shd w:fill="FFFFFF" w:val="clear"/>
            <w:vAlign w:val="center"/>
          </w:tcPr>
          <w:p>
            <w:pPr>
              <w:pStyle w:val="TableContents"/>
              <w:bidi w:val="0"/>
              <w:spacing w:before="0" w:after="283"/>
              <w:jc w:val="left"/>
              <w:rPr/>
            </w:pPr>
            <w:r>
              <w:rPr/>
              <w:t>Share-settled contingent liability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185,860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186,323</w:t>
            </w:r>
          </w:p>
        </w:tc>
        <w:tc>
          <w:tcPr>
            <w:tcW w:w="291" w:type="dxa"/>
            <w:tcBorders/>
            <w:shd w:fill="FFFFFF" w:val="clear"/>
            <w:vAlign w:val="center"/>
          </w:tcPr>
          <w:p>
            <w:pPr>
              <w:pStyle w:val="TableContents"/>
              <w:bidi w:val="0"/>
              <w:spacing w:before="0" w:after="283"/>
              <w:ind w:left="0" w:right="0" w:firstLine="180"/>
              <w:jc w:val="left"/>
              <w:rPr/>
            </w:pPr>
            <w:r>
              <w:rPr/>
              <w:t> </w:t>
            </w:r>
          </w:p>
        </w:tc>
      </w:tr>
      <w:tr>
        <w:trPr/>
        <w:tc>
          <w:tcPr>
            <w:tcW w:w="7446"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9,949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10,236</w:t>
            </w:r>
          </w:p>
        </w:tc>
        <w:tc>
          <w:tcPr>
            <w:tcW w:w="291" w:type="dxa"/>
            <w:tcBorders/>
            <w:shd w:fill="CCEEFF" w:val="clear"/>
            <w:vAlign w:val="center"/>
          </w:tcPr>
          <w:p>
            <w:pPr>
              <w:pStyle w:val="TableContents"/>
              <w:bidi w:val="0"/>
              <w:spacing w:before="0" w:after="283"/>
              <w:ind w:left="0" w:right="0" w:firstLine="180"/>
              <w:jc w:val="left"/>
              <w:rPr/>
            </w:pPr>
            <w:r>
              <w:rPr/>
              <w:t> </w:t>
            </w:r>
          </w:p>
        </w:tc>
      </w:tr>
      <w:tr>
        <w:trPr/>
        <w:tc>
          <w:tcPr>
            <w:tcW w:w="7446"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FFFFFF" w:val="clear"/>
            <w:tcMar>
              <w:bottom w:w="28" w:type="dxa"/>
            </w:tcMar>
            <w:vAlign w:val="center"/>
          </w:tcPr>
          <w:p>
            <w:pPr>
              <w:pStyle w:val="TableContents"/>
              <w:bidi w:val="0"/>
              <w:spacing w:before="0" w:after="283"/>
              <w:jc w:val="right"/>
              <w:rPr/>
            </w:pPr>
            <w:r>
              <w:rPr/>
              <w:t>8</w:t>
            </w:r>
          </w:p>
        </w:tc>
        <w:tc>
          <w:tcPr>
            <w:tcW w:w="291" w:type="dxa"/>
            <w:tcBorders/>
            <w:shd w:fill="FFFFFF" w:val="clear"/>
            <w:vAlign w:val="center"/>
          </w:tcPr>
          <w:p>
            <w:pPr>
              <w:pStyle w:val="TableContents"/>
              <w:bidi w:val="0"/>
              <w:spacing w:before="0" w:after="283"/>
              <w:jc w:val="left"/>
              <w:rPr/>
            </w:pPr>
            <w:r>
              <w:rPr/>
              <w:t> </w:t>
            </w:r>
          </w:p>
        </w:tc>
      </w:tr>
      <w:tr>
        <w:trPr/>
        <w:tc>
          <w:tcPr>
            <w:tcW w:w="7446"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200,591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199,726</w:t>
            </w:r>
          </w:p>
        </w:tc>
        <w:tc>
          <w:tcPr>
            <w:tcW w:w="291" w:type="dxa"/>
            <w:tcBorders/>
            <w:shd w:fill="CCEEFF" w:val="clear"/>
            <w:vAlign w:val="center"/>
          </w:tcPr>
          <w:p>
            <w:pPr>
              <w:pStyle w:val="TableContents"/>
              <w:bidi w:val="0"/>
              <w:spacing w:before="0" w:after="283"/>
              <w:jc w:val="left"/>
              <w:rPr/>
            </w:pPr>
            <w:r>
              <w:rPr/>
              <w:t> </w:t>
            </w:r>
          </w:p>
        </w:tc>
      </w:tr>
      <w:tr>
        <w:trPr/>
        <w:tc>
          <w:tcPr>
            <w:tcW w:w="7446" w:type="dxa"/>
            <w:tcBorders/>
            <w:shd w:fill="FFFFFF" w:val="clear"/>
            <w:vAlign w:val="center"/>
          </w:tcPr>
          <w:p>
            <w:pPr>
              <w:pStyle w:val="TableContents"/>
              <w:bidi w:val="0"/>
              <w:spacing w:before="0" w:after="283"/>
              <w:jc w:val="left"/>
              <w:rPr/>
            </w:pPr>
            <w:r>
              <w:rPr/>
              <w:t>Commitments and contingencies (Note 10)</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7446" w:type="dxa"/>
            <w:tcBorders/>
            <w:shd w:fill="CCEEFF" w:val="clear"/>
            <w:vAlign w:val="center"/>
          </w:tcPr>
          <w:p>
            <w:pPr>
              <w:pStyle w:val="TableContents"/>
              <w:bidi w:val="0"/>
              <w:spacing w:before="0" w:after="283"/>
              <w:jc w:val="left"/>
              <w:rPr>
                <w:b/>
              </w:rPr>
            </w:pPr>
            <w:r>
              <w:rPr>
                <w:b/>
              </w:rPr>
              <w:t>Shareholders’ deficit: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ind w:left="0" w:right="0" w:hanging="180"/>
              <w:jc w:val="left"/>
              <w:rPr/>
            </w:pPr>
            <w:r>
              <w:rPr/>
              <w:t> </w:t>
            </w:r>
          </w:p>
        </w:tc>
      </w:tr>
      <w:tr>
        <w:trPr/>
        <w:tc>
          <w:tcPr>
            <w:tcW w:w="7446" w:type="dxa"/>
            <w:tcBorders/>
            <w:shd w:fill="FFFFFF" w:val="clear"/>
            <w:vAlign w:val="center"/>
          </w:tcPr>
          <w:p>
            <w:pPr>
              <w:pStyle w:val="TableContents"/>
              <w:bidi w:val="0"/>
              <w:spacing w:before="0" w:after="283"/>
              <w:jc w:val="left"/>
              <w:rPr/>
            </w:pPr>
            <w:r>
              <w:rPr/>
              <w:t>Ordinary shares (€0.01 par value, 500,000,000 shares authorized as of March 31, 2026 and December 31, 2025; 110,226,198 shares issued and outstanding as of March 31, 2026 and 110,226,198 issued and outstanding as of December 31, 2025)</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1,281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1,281</w:t>
            </w:r>
          </w:p>
        </w:tc>
        <w:tc>
          <w:tcPr>
            <w:tcW w:w="291" w:type="dxa"/>
            <w:tcBorders/>
            <w:shd w:fill="FFFFFF" w:val="clear"/>
            <w:vAlign w:val="center"/>
          </w:tcPr>
          <w:p>
            <w:pPr>
              <w:pStyle w:val="TableContents"/>
              <w:bidi w:val="0"/>
              <w:spacing w:before="0" w:after="283"/>
              <w:ind w:left="0" w:right="0" w:hanging="180"/>
              <w:jc w:val="left"/>
              <w:rPr/>
            </w:pPr>
            <w:r>
              <w:rPr/>
              <w:t> </w:t>
            </w:r>
          </w:p>
        </w:tc>
      </w:tr>
      <w:tr>
        <w:trPr/>
        <w:tc>
          <w:tcPr>
            <w:tcW w:w="7446" w:type="dxa"/>
            <w:tcBorders/>
            <w:shd w:fill="CCEEFF" w:val="clear"/>
            <w:vAlign w:val="center"/>
          </w:tcPr>
          <w:p>
            <w:pPr>
              <w:pStyle w:val="TableContents"/>
              <w:bidi w:val="0"/>
              <w:spacing w:before="0" w:after="283"/>
              <w:jc w:val="left"/>
              <w:rPr/>
            </w:pPr>
            <w:r>
              <w:rPr/>
              <w:t>Convertible Preferred Shares (€100 par value, 8,040 shares authorized as of March 31, 2026 and December 31, 2025; 20 shares issued and outstanding as of March 31, 2026 and December 31, 2025)</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3,086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3,086</w:t>
            </w:r>
          </w:p>
        </w:tc>
        <w:tc>
          <w:tcPr>
            <w:tcW w:w="291" w:type="dxa"/>
            <w:tcBorders/>
            <w:shd w:fill="CCEEFF" w:val="clear"/>
            <w:vAlign w:val="center"/>
          </w:tcPr>
          <w:p>
            <w:pPr>
              <w:pStyle w:val="TableContents"/>
              <w:bidi w:val="0"/>
              <w:spacing w:before="0" w:after="283"/>
              <w:ind w:left="0" w:right="0" w:firstLine="180"/>
              <w:jc w:val="left"/>
              <w:rPr/>
            </w:pPr>
            <w:r>
              <w:rPr/>
              <w:t> </w:t>
            </w:r>
          </w:p>
        </w:tc>
      </w:tr>
      <w:tr>
        <w:trPr/>
        <w:tc>
          <w:tcPr>
            <w:tcW w:w="74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7446"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519,422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519,422</w:t>
            </w:r>
          </w:p>
        </w:tc>
        <w:tc>
          <w:tcPr>
            <w:tcW w:w="291" w:type="dxa"/>
            <w:tcBorders/>
            <w:shd w:fill="CCEEFF" w:val="clear"/>
            <w:vAlign w:val="center"/>
          </w:tcPr>
          <w:p>
            <w:pPr>
              <w:pStyle w:val="TableContents"/>
              <w:bidi w:val="0"/>
              <w:spacing w:before="0" w:after="283"/>
              <w:ind w:left="0" w:right="0" w:firstLine="180"/>
              <w:jc w:val="left"/>
              <w:rPr/>
            </w:pPr>
            <w:r>
              <w:rPr/>
              <w:t> </w:t>
            </w:r>
          </w:p>
        </w:tc>
      </w:tr>
      <w:tr>
        <w:trPr/>
        <w:tc>
          <w:tcPr>
            <w:tcW w:w="7446"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(614,382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(607,276</w:t>
            </w:r>
          </w:p>
        </w:tc>
        <w:tc>
          <w:tcPr>
            <w:tcW w:w="291" w:type="dxa"/>
            <w:tcBorders/>
            <w:shd w:fill="FFFFFF" w:val="clear"/>
            <w:vAlign w:val="center"/>
          </w:tcPr>
          <w:p>
            <w:pPr>
              <w:pStyle w:val="TableContents"/>
              <w:bidi w:val="0"/>
              <w:spacing w:before="0" w:after="283"/>
              <w:ind w:left="0" w:right="0" w:firstLine="180"/>
              <w:jc w:val="left"/>
              <w:rPr/>
            </w:pPr>
            <w:r>
              <w:rPr/>
              <w:t>)</w:t>
            </w:r>
          </w:p>
        </w:tc>
      </w:tr>
      <w:tr>
        <w:trPr/>
        <w:tc>
          <w:tcPr>
            <w:tcW w:w="7446"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pPr>
            <w:r>
              <w:rPr/>
              <w:t>(8,099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pPr>
            <w:r>
              <w:rPr/>
              <w:t>(10,103</w:t>
            </w:r>
          </w:p>
        </w:tc>
        <w:tc>
          <w:tcPr>
            <w:tcW w:w="291" w:type="dxa"/>
            <w:tcBorders/>
            <w:shd w:fill="CCEEFF" w:val="clear"/>
            <w:vAlign w:val="center"/>
          </w:tcPr>
          <w:p>
            <w:pPr>
              <w:pStyle w:val="TableContents"/>
              <w:bidi w:val="0"/>
              <w:spacing w:before="0" w:after="283"/>
              <w:jc w:val="left"/>
              <w:rPr/>
            </w:pPr>
            <w:r>
              <w:rPr/>
              <w:t>)</w:t>
            </w:r>
          </w:p>
        </w:tc>
      </w:tr>
      <w:tr>
        <w:trPr/>
        <w:tc>
          <w:tcPr>
            <w:tcW w:w="7446" w:type="dxa"/>
            <w:tcBorders/>
            <w:shd w:fill="FFFFFF" w:val="clear"/>
            <w:vAlign w:val="center"/>
          </w:tcPr>
          <w:p>
            <w:pPr>
              <w:pStyle w:val="TableContents"/>
              <w:bidi w:val="0"/>
              <w:spacing w:before="0" w:after="283"/>
              <w:jc w:val="left"/>
              <w:rPr>
                <w:b/>
              </w:rPr>
            </w:pPr>
            <w:r>
              <w:rPr>
                <w:b/>
              </w:rPr>
              <w:t>Total shareholders’ deficit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(98,692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(93,590</w:t>
            </w:r>
          </w:p>
        </w:tc>
        <w:tc>
          <w:tcPr>
            <w:tcW w:w="291" w:type="dxa"/>
            <w:tcBorders/>
            <w:shd w:fill="FFFFFF" w:val="clear"/>
            <w:vAlign w:val="center"/>
          </w:tcPr>
          <w:p>
            <w:pPr>
              <w:pStyle w:val="TableContents"/>
              <w:bidi w:val="0"/>
              <w:spacing w:before="0" w:after="283"/>
              <w:jc w:val="left"/>
              <w:rPr>
                <w:b/>
              </w:rPr>
            </w:pPr>
            <w:r>
              <w:rPr>
                <w:b/>
              </w:rPr>
              <w:t>)</w:t>
            </w:r>
          </w:p>
        </w:tc>
      </w:tr>
      <w:tr>
        <w:trPr/>
        <w:tc>
          <w:tcPr>
            <w:tcW w:w="7446" w:type="dxa"/>
            <w:tcBorders/>
            <w:shd w:fill="CCEEFF" w:val="clear"/>
            <w:vAlign w:val="center"/>
          </w:tcPr>
          <w:p>
            <w:pPr>
              <w:pStyle w:val="TableContents"/>
              <w:bidi w:val="0"/>
              <w:spacing w:before="0" w:after="283"/>
              <w:jc w:val="left"/>
              <w:rPr>
                <w:b/>
              </w:rPr>
            </w:pPr>
            <w:r>
              <w:rPr>
                <w:b/>
              </w:rPr>
              <w:t>Total liabilities and shareholders’ deficit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101,899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106,136</w:t>
            </w:r>
          </w:p>
        </w:tc>
        <w:tc>
          <w:tcPr>
            <w:tcW w:w="29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accompanying notes are an integral part of these interim condensed consolidated financial statements.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br/>
        <w:t>(formerly Terra Innovatum Global Srl.)</w:t>
        <w:br/>
        <w:t>Interim Condensed Consolidated Statements of Operations and Comprehensive Income</w:t>
        <w:br/>
        <w:t>(all amounts in USD)(in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17"/>
        <w:gridCol w:w="60"/>
        <w:gridCol w:w="201"/>
        <w:gridCol w:w="1760"/>
        <w:gridCol w:w="136"/>
        <w:gridCol w:w="85"/>
        <w:gridCol w:w="201"/>
        <w:gridCol w:w="1586"/>
        <w:gridCol w:w="259"/>
      </w:tblGrid>
      <w:tr>
        <w:trPr/>
        <w:tc>
          <w:tcPr>
            <w:tcW w:w="59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6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259" w:type="dxa"/>
            <w:tcBorders/>
            <w:vAlign w:val="center"/>
          </w:tcPr>
          <w:p>
            <w:pPr>
              <w:pStyle w:val="TableContents"/>
              <w:bidi w:val="0"/>
              <w:spacing w:before="0" w:after="283"/>
              <w:jc w:val="left"/>
              <w:rPr/>
            </w:pPr>
            <w:r>
              <w:rPr/>
              <w:t> </w:t>
            </w:r>
          </w:p>
        </w:tc>
      </w:tr>
      <w:tr>
        <w:trPr/>
        <w:tc>
          <w:tcPr>
            <w:tcW w:w="59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7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59" w:type="dxa"/>
            <w:tcBorders/>
            <w:vAlign w:val="center"/>
          </w:tcPr>
          <w:p>
            <w:pPr>
              <w:pStyle w:val="TableContents"/>
              <w:bidi w:val="0"/>
              <w:spacing w:before="0" w:after="283"/>
              <w:jc w:val="left"/>
              <w:rPr/>
            </w:pPr>
            <w:r>
              <w:rPr/>
              <w:t> </w:t>
            </w:r>
          </w:p>
        </w:tc>
      </w:tr>
      <w:tr>
        <w:trPr/>
        <w:tc>
          <w:tcPr>
            <w:tcW w:w="59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69" w:type="dxa"/>
            <w:gridSpan w:val="6"/>
            <w:tcBorders/>
            <w:vAlign w:val="center"/>
          </w:tcPr>
          <w:p>
            <w:pPr>
              <w:pStyle w:val="TableContents"/>
              <w:bidi w:val="0"/>
              <w:spacing w:before="0" w:after="283"/>
              <w:jc w:val="center"/>
              <w:rPr>
                <w:b/>
              </w:rPr>
            </w:pPr>
            <w:r>
              <w:rPr>
                <w:b/>
              </w:rPr>
              <w:t>Unaudited</w:t>
            </w:r>
          </w:p>
        </w:tc>
        <w:tc>
          <w:tcPr>
            <w:tcW w:w="259" w:type="dxa"/>
            <w:tcBorders/>
            <w:vAlign w:val="center"/>
          </w:tcPr>
          <w:p>
            <w:pPr>
              <w:pStyle w:val="TableContents"/>
              <w:bidi w:val="0"/>
              <w:spacing w:before="0" w:after="283"/>
              <w:jc w:val="left"/>
              <w:rPr/>
            </w:pPr>
            <w:r>
              <w:rPr/>
              <w:t> </w:t>
            </w:r>
          </w:p>
        </w:tc>
      </w:tr>
      <w:tr>
        <w:trPr/>
        <w:tc>
          <w:tcPr>
            <w:tcW w:w="5917"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1961" w:type="dxa"/>
            <w:gridSpan w:val="2"/>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787" w:type="dxa"/>
            <w:gridSpan w:val="2"/>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ind w:left="0" w:right="0" w:firstLine="180"/>
              <w:jc w:val="left"/>
              <w:rPr/>
            </w:pPr>
            <w:r>
              <w:rPr/>
              <w:t> </w:t>
            </w:r>
          </w:p>
        </w:tc>
      </w:tr>
      <w:tr>
        <w:trPr/>
        <w:tc>
          <w:tcPr>
            <w:tcW w:w="5917"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760" w:type="dxa"/>
            <w:tcBorders/>
            <w:shd w:fill="CCEEFF" w:val="clear"/>
            <w:vAlign w:val="center"/>
          </w:tcPr>
          <w:p>
            <w:pPr>
              <w:pStyle w:val="TableContents"/>
              <w:bidi w:val="0"/>
              <w:spacing w:before="0" w:after="283"/>
              <w:jc w:val="right"/>
              <w:rPr/>
            </w:pPr>
            <w:r>
              <w:rPr/>
              <w:t>5,396</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586" w:type="dxa"/>
            <w:tcBorders/>
            <w:shd w:fill="CCEEFF" w:val="clear"/>
            <w:vAlign w:val="center"/>
          </w:tcPr>
          <w:p>
            <w:pPr>
              <w:pStyle w:val="TableContents"/>
              <w:bidi w:val="0"/>
              <w:spacing w:before="0" w:after="283"/>
              <w:jc w:val="right"/>
              <w:rPr/>
            </w:pPr>
            <w:r>
              <w:rPr/>
              <w:t>1,416</w:t>
            </w:r>
          </w:p>
        </w:tc>
        <w:tc>
          <w:tcPr>
            <w:tcW w:w="259" w:type="dxa"/>
            <w:tcBorders/>
            <w:shd w:fill="CCEEFF" w:val="clear"/>
            <w:vAlign w:val="center"/>
          </w:tcPr>
          <w:p>
            <w:pPr>
              <w:pStyle w:val="TableContents"/>
              <w:bidi w:val="0"/>
              <w:spacing w:before="0" w:after="283"/>
              <w:ind w:left="0" w:right="0" w:firstLine="180"/>
              <w:jc w:val="left"/>
              <w:rPr/>
            </w:pPr>
            <w:r>
              <w:rPr/>
              <w:t> </w:t>
            </w:r>
          </w:p>
        </w:tc>
      </w:tr>
      <w:tr>
        <w:trPr/>
        <w:tc>
          <w:tcPr>
            <w:tcW w:w="5917" w:type="dxa"/>
            <w:tcBorders/>
            <w:shd w:fill="FFFFFF" w:val="clear"/>
            <w:vAlign w:val="center"/>
          </w:tcPr>
          <w:p>
            <w:pPr>
              <w:pStyle w:val="TableContents"/>
              <w:bidi w:val="0"/>
              <w:spacing w:before="0" w:after="283"/>
              <w:jc w:val="left"/>
              <w:rPr/>
            </w:pPr>
            <w:r>
              <w:rPr/>
              <w:t>Development costs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60" w:type="dxa"/>
            <w:tcBorders>
              <w:bottom w:val="single" w:sz="12" w:space="0" w:color="000000"/>
            </w:tcBorders>
            <w:shd w:fill="FFFFFF" w:val="clear"/>
            <w:tcMar>
              <w:bottom w:w="28" w:type="dxa"/>
            </w:tcMar>
            <w:vAlign w:val="center"/>
          </w:tcPr>
          <w:p>
            <w:pPr>
              <w:pStyle w:val="TableContents"/>
              <w:bidi w:val="0"/>
              <w:spacing w:before="0" w:after="283"/>
              <w:jc w:val="right"/>
              <w:rPr/>
            </w:pPr>
            <w:r>
              <w:rPr/>
              <w:t>1,238</w:t>
            </w:r>
          </w:p>
        </w:tc>
        <w:tc>
          <w:tcPr>
            <w:tcW w:w="13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6" w:type="dxa"/>
            <w:tcBorders>
              <w:bottom w:val="single" w:sz="12" w:space="0" w:color="000000"/>
            </w:tcBorders>
            <w:shd w:fill="FFFFFF" w:val="clear"/>
            <w:tcMar>
              <w:bottom w:w="28" w:type="dxa"/>
            </w:tcMar>
            <w:vAlign w:val="center"/>
          </w:tcPr>
          <w:p>
            <w:pPr>
              <w:pStyle w:val="TableContents"/>
              <w:bidi w:val="0"/>
              <w:spacing w:before="0" w:after="283"/>
              <w:jc w:val="right"/>
              <w:rPr/>
            </w:pPr>
            <w:r>
              <w:rPr/>
              <w:t>33</w:t>
            </w:r>
          </w:p>
        </w:tc>
        <w:tc>
          <w:tcPr>
            <w:tcW w:w="259" w:type="dxa"/>
            <w:tcBorders/>
            <w:shd w:fill="FFFFFF" w:val="clear"/>
            <w:vAlign w:val="center"/>
          </w:tcPr>
          <w:p>
            <w:pPr>
              <w:pStyle w:val="TableContents"/>
              <w:bidi w:val="0"/>
              <w:spacing w:before="0" w:after="283"/>
              <w:jc w:val="left"/>
              <w:rPr/>
            </w:pPr>
            <w:r>
              <w:rPr/>
              <w:t> </w:t>
            </w:r>
          </w:p>
        </w:tc>
      </w:tr>
      <w:tr>
        <w:trPr/>
        <w:tc>
          <w:tcPr>
            <w:tcW w:w="5917"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60" w:type="dxa"/>
            <w:tcBorders>
              <w:bottom w:val="single" w:sz="12" w:space="0" w:color="000000"/>
            </w:tcBorders>
            <w:shd w:fill="CCEEFF" w:val="clear"/>
            <w:tcMar>
              <w:bottom w:w="28" w:type="dxa"/>
            </w:tcMar>
            <w:vAlign w:val="center"/>
          </w:tcPr>
          <w:p>
            <w:pPr>
              <w:pStyle w:val="TableContents"/>
              <w:bidi w:val="0"/>
              <w:spacing w:before="0" w:after="283"/>
              <w:jc w:val="right"/>
              <w:rPr/>
            </w:pPr>
            <w:r>
              <w:rPr/>
              <w:t>6,634</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86" w:type="dxa"/>
            <w:tcBorders>
              <w:bottom w:val="single" w:sz="12" w:space="0" w:color="000000"/>
            </w:tcBorders>
            <w:shd w:fill="CCEEFF" w:val="clear"/>
            <w:tcMar>
              <w:bottom w:w="28" w:type="dxa"/>
            </w:tcMar>
            <w:vAlign w:val="center"/>
          </w:tcPr>
          <w:p>
            <w:pPr>
              <w:pStyle w:val="TableContents"/>
              <w:bidi w:val="0"/>
              <w:spacing w:before="0" w:after="283"/>
              <w:jc w:val="right"/>
              <w:rPr/>
            </w:pPr>
            <w:r>
              <w:rPr/>
              <w:t>1,449</w:t>
            </w:r>
          </w:p>
        </w:tc>
        <w:tc>
          <w:tcPr>
            <w:tcW w:w="259" w:type="dxa"/>
            <w:tcBorders/>
            <w:shd w:fill="CCEEFF" w:val="clear"/>
            <w:vAlign w:val="center"/>
          </w:tcPr>
          <w:p>
            <w:pPr>
              <w:pStyle w:val="TableContents"/>
              <w:bidi w:val="0"/>
              <w:spacing w:before="0" w:after="283"/>
              <w:jc w:val="left"/>
              <w:rPr/>
            </w:pPr>
            <w:r>
              <w:rPr/>
              <w:t> </w:t>
            </w:r>
          </w:p>
        </w:tc>
      </w:tr>
      <w:tr>
        <w:trPr/>
        <w:tc>
          <w:tcPr>
            <w:tcW w:w="5917"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6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(6,634</w:t>
            </w:r>
          </w:p>
        </w:tc>
        <w:tc>
          <w:tcPr>
            <w:tcW w:w="136" w:type="dxa"/>
            <w:tcBorders/>
            <w:shd w:fill="FFFFFF" w:val="clear"/>
            <w:vAlign w:val="center"/>
          </w:tcPr>
          <w:p>
            <w:pPr>
              <w:pStyle w:val="TableContents"/>
              <w:bidi w:val="0"/>
              <w:spacing w:before="0" w:after="283"/>
              <w:jc w:val="left"/>
              <w:rPr>
                <w:b/>
              </w:rPr>
            </w:pPr>
            <w:r>
              <w:rPr>
                <w:b/>
              </w:rPr>
              <w:t>)</w:t>
            </w:r>
          </w:p>
        </w:tc>
        <w:tc>
          <w:tcPr>
            <w:tcW w:w="85"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(1,449</w:t>
            </w:r>
          </w:p>
        </w:tc>
        <w:tc>
          <w:tcPr>
            <w:tcW w:w="259" w:type="dxa"/>
            <w:tcBorders/>
            <w:shd w:fill="FFFFFF" w:val="clear"/>
            <w:vAlign w:val="center"/>
          </w:tcPr>
          <w:p>
            <w:pPr>
              <w:pStyle w:val="TableContents"/>
              <w:bidi w:val="0"/>
              <w:spacing w:before="0" w:after="283"/>
              <w:jc w:val="left"/>
              <w:rPr>
                <w:b/>
              </w:rPr>
            </w:pPr>
            <w:r>
              <w:rPr>
                <w:b/>
              </w:rPr>
              <w:t>)</w:t>
            </w:r>
          </w:p>
        </w:tc>
      </w:tr>
      <w:tr>
        <w:trPr/>
        <w:tc>
          <w:tcPr>
            <w:tcW w:w="59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586" w:type="dxa"/>
            <w:tcBorders/>
            <w:shd w:fill="CCEEFF" w:val="clear"/>
            <w:vAlign w:val="center"/>
          </w:tcPr>
          <w:p>
            <w:pPr>
              <w:pStyle w:val="TableContents"/>
              <w:bidi w:val="0"/>
              <w:spacing w:before="0" w:after="283"/>
              <w:jc w:val="right"/>
              <w:rPr/>
            </w:pPr>
            <w:r>
              <w:rPr/>
              <w:t> </w:t>
            </w:r>
          </w:p>
        </w:tc>
        <w:tc>
          <w:tcPr>
            <w:tcW w:w="259" w:type="dxa"/>
            <w:tcBorders/>
            <w:shd w:fill="CCEEFF" w:val="clear"/>
            <w:vAlign w:val="center"/>
          </w:tcPr>
          <w:p>
            <w:pPr>
              <w:pStyle w:val="TableContents"/>
              <w:bidi w:val="0"/>
              <w:spacing w:before="0" w:after="283"/>
              <w:jc w:val="left"/>
              <w:rPr/>
            </w:pPr>
            <w:r>
              <w:rPr/>
              <w:t> </w:t>
            </w:r>
          </w:p>
        </w:tc>
      </w:tr>
      <w:tr>
        <w:trPr/>
        <w:tc>
          <w:tcPr>
            <w:tcW w:w="5917" w:type="dxa"/>
            <w:tcBorders/>
            <w:shd w:fill="FFFFFF" w:val="clear"/>
            <w:vAlign w:val="center"/>
          </w:tcPr>
          <w:p>
            <w:pPr>
              <w:pStyle w:val="TableContents"/>
              <w:bidi w:val="0"/>
              <w:spacing w:before="0" w:after="283"/>
              <w:jc w:val="left"/>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586"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ind w:left="0" w:right="0" w:firstLine="180"/>
              <w:jc w:val="left"/>
              <w:rPr/>
            </w:pPr>
            <w:r>
              <w:rPr/>
              <w:t> </w:t>
            </w:r>
          </w:p>
        </w:tc>
      </w:tr>
      <w:tr>
        <w:trPr/>
        <w:tc>
          <w:tcPr>
            <w:tcW w:w="5917"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right"/>
              <w:rPr/>
            </w:pPr>
            <w:r>
              <w:rPr/>
              <w:t>2,780</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586" w:type="dxa"/>
            <w:tcBorders/>
            <w:shd w:fill="CCEEFF" w:val="clear"/>
            <w:vAlign w:val="center"/>
          </w:tcPr>
          <w:p>
            <w:pPr>
              <w:pStyle w:val="TableContents"/>
              <w:bidi w:val="0"/>
              <w:spacing w:before="0" w:after="283"/>
              <w:jc w:val="right"/>
              <w:rPr/>
            </w:pPr>
            <w:r>
              <w:rPr/>
              <w:t>1</w:t>
            </w:r>
          </w:p>
        </w:tc>
        <w:tc>
          <w:tcPr>
            <w:tcW w:w="259" w:type="dxa"/>
            <w:tcBorders/>
            <w:shd w:fill="CCEEFF" w:val="clear"/>
            <w:vAlign w:val="center"/>
          </w:tcPr>
          <w:p>
            <w:pPr>
              <w:pStyle w:val="TableContents"/>
              <w:bidi w:val="0"/>
              <w:spacing w:before="0" w:after="283"/>
              <w:ind w:left="0" w:right="0" w:firstLine="180"/>
              <w:jc w:val="left"/>
              <w:rPr/>
            </w:pPr>
            <w:r>
              <w:rPr/>
              <w:t> </w:t>
            </w:r>
          </w:p>
        </w:tc>
      </w:tr>
      <w:tr>
        <w:trPr/>
        <w:tc>
          <w:tcPr>
            <w:tcW w:w="5917" w:type="dxa"/>
            <w:tcBorders/>
            <w:shd w:fill="FFFFFF" w:val="clear"/>
            <w:vAlign w:val="center"/>
          </w:tcPr>
          <w:p>
            <w:pPr>
              <w:pStyle w:val="TableContents"/>
              <w:bidi w:val="0"/>
              <w:spacing w:before="0" w:after="283"/>
              <w:jc w:val="left"/>
              <w:rPr/>
            </w:pPr>
            <w:r>
              <w:rPr/>
              <w:t>Change in fair value - share settled contingent liability</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right"/>
              <w:rPr/>
            </w:pPr>
            <w:r>
              <w:rPr/>
              <w:t>(3,335</w:t>
            </w:r>
          </w:p>
        </w:tc>
        <w:tc>
          <w:tcPr>
            <w:tcW w:w="136"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586" w:type="dxa"/>
            <w:tcBorders/>
            <w:shd w:fill="FFFFFF" w:val="clear"/>
            <w:vAlign w:val="center"/>
          </w:tcPr>
          <w:p>
            <w:pPr>
              <w:pStyle w:val="TableContents"/>
              <w:bidi w:val="0"/>
              <w:spacing w:before="0" w:after="283"/>
              <w:jc w:val="right"/>
              <w:rPr/>
            </w:pPr>
            <w:r>
              <w:rPr/>
              <w:t>-</w:t>
            </w:r>
          </w:p>
        </w:tc>
        <w:tc>
          <w:tcPr>
            <w:tcW w:w="259" w:type="dxa"/>
            <w:tcBorders/>
            <w:shd w:fill="FFFFFF" w:val="clear"/>
            <w:vAlign w:val="center"/>
          </w:tcPr>
          <w:p>
            <w:pPr>
              <w:pStyle w:val="TableContents"/>
              <w:bidi w:val="0"/>
              <w:spacing w:before="0" w:after="283"/>
              <w:ind w:left="0" w:right="0" w:firstLine="180"/>
              <w:jc w:val="left"/>
              <w:rPr/>
            </w:pPr>
            <w:r>
              <w:rPr/>
              <w:t> </w:t>
            </w:r>
          </w:p>
        </w:tc>
      </w:tr>
      <w:tr>
        <w:trPr/>
        <w:tc>
          <w:tcPr>
            <w:tcW w:w="5917" w:type="dxa"/>
            <w:tcBorders/>
            <w:shd w:fill="CCEEFF" w:val="clear"/>
            <w:vAlign w:val="center"/>
          </w:tcPr>
          <w:p>
            <w:pPr>
              <w:pStyle w:val="TableContents"/>
              <w:bidi w:val="0"/>
              <w:spacing w:before="0" w:after="283"/>
              <w:jc w:val="left"/>
              <w:rPr/>
            </w:pPr>
            <w:r>
              <w:rPr/>
              <w:t>Change in fair value - warrant liabilities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60" w:type="dxa"/>
            <w:tcBorders>
              <w:bottom w:val="single" w:sz="12" w:space="0" w:color="000000"/>
            </w:tcBorders>
            <w:shd w:fill="CCEEFF" w:val="clear"/>
            <w:tcMar>
              <w:bottom w:w="28" w:type="dxa"/>
            </w:tcMar>
            <w:vAlign w:val="center"/>
          </w:tcPr>
          <w:p>
            <w:pPr>
              <w:pStyle w:val="TableContents"/>
              <w:bidi w:val="0"/>
              <w:spacing w:before="0" w:after="283"/>
              <w:jc w:val="right"/>
              <w:rPr/>
            </w:pPr>
            <w:r>
              <w:rPr/>
              <w:t>83</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8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59" w:type="dxa"/>
            <w:tcBorders/>
            <w:shd w:fill="CCEEFF" w:val="clear"/>
            <w:vAlign w:val="center"/>
          </w:tcPr>
          <w:p>
            <w:pPr>
              <w:pStyle w:val="TableContents"/>
              <w:bidi w:val="0"/>
              <w:spacing w:before="0" w:after="283"/>
              <w:jc w:val="left"/>
              <w:rPr/>
            </w:pPr>
            <w:r>
              <w:rPr/>
              <w:t> </w:t>
            </w:r>
          </w:p>
        </w:tc>
      </w:tr>
      <w:tr>
        <w:trPr/>
        <w:tc>
          <w:tcPr>
            <w:tcW w:w="5917" w:type="dxa"/>
            <w:tcBorders/>
            <w:shd w:fill="FFFFFF" w:val="clear"/>
            <w:vAlign w:val="center"/>
          </w:tcPr>
          <w:p>
            <w:pPr>
              <w:pStyle w:val="TableContents"/>
              <w:bidi w:val="0"/>
              <w:spacing w:before="0" w:after="283"/>
              <w:jc w:val="left"/>
              <w:rPr/>
            </w:pPr>
            <w:r>
              <w:rPr/>
              <w:t>Total other (expense) income, net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60" w:type="dxa"/>
            <w:tcBorders>
              <w:bottom w:val="single" w:sz="12" w:space="0" w:color="000000"/>
            </w:tcBorders>
            <w:shd w:fill="FFFFFF" w:val="clear"/>
            <w:tcMar>
              <w:bottom w:w="28" w:type="dxa"/>
            </w:tcMar>
            <w:vAlign w:val="center"/>
          </w:tcPr>
          <w:p>
            <w:pPr>
              <w:pStyle w:val="TableContents"/>
              <w:bidi w:val="0"/>
              <w:spacing w:before="0" w:after="283"/>
              <w:jc w:val="right"/>
              <w:rPr/>
            </w:pPr>
            <w:r>
              <w:rPr/>
              <w:t>(472</w:t>
            </w:r>
          </w:p>
        </w:tc>
        <w:tc>
          <w:tcPr>
            <w:tcW w:w="136"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6"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259" w:type="dxa"/>
            <w:tcBorders/>
            <w:shd w:fill="FFFFFF" w:val="clear"/>
            <w:vAlign w:val="center"/>
          </w:tcPr>
          <w:p>
            <w:pPr>
              <w:pStyle w:val="TableContents"/>
              <w:bidi w:val="0"/>
              <w:spacing w:before="0" w:after="283"/>
              <w:jc w:val="left"/>
              <w:rPr/>
            </w:pPr>
            <w:r>
              <w:rPr/>
              <w:t> </w:t>
            </w:r>
          </w:p>
        </w:tc>
      </w:tr>
      <w:tr>
        <w:trPr/>
        <w:tc>
          <w:tcPr>
            <w:tcW w:w="5917" w:type="dxa"/>
            <w:tcBorders/>
            <w:shd w:fill="CCEEFF" w:val="clear"/>
            <w:vAlign w:val="center"/>
          </w:tcPr>
          <w:p>
            <w:pPr>
              <w:pStyle w:val="TableContents"/>
              <w:bidi w:val="0"/>
              <w:spacing w:before="0" w:after="283"/>
              <w:jc w:val="left"/>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right"/>
              <w:rPr>
                <w:b/>
              </w:rPr>
            </w:pPr>
            <w:r>
              <w:rPr>
                <w:b/>
              </w:rPr>
              <w:t>(7,106</w:t>
            </w:r>
          </w:p>
        </w:tc>
        <w:tc>
          <w:tcPr>
            <w:tcW w:w="136" w:type="dxa"/>
            <w:tcBorders/>
            <w:shd w:fill="CCEEFF" w:val="clear"/>
            <w:vAlign w:val="center"/>
          </w:tcPr>
          <w:p>
            <w:pPr>
              <w:pStyle w:val="TableContents"/>
              <w:bidi w:val="0"/>
              <w:spacing w:before="0" w:after="283"/>
              <w:jc w:val="left"/>
              <w:rPr>
                <w:b/>
              </w:rPr>
            </w:pPr>
            <w:r>
              <w:rPr>
                <w:b/>
              </w:rPr>
              <w:t>)</w:t>
            </w:r>
          </w:p>
        </w:tc>
        <w:tc>
          <w:tcPr>
            <w:tcW w:w="85"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586" w:type="dxa"/>
            <w:tcBorders/>
            <w:shd w:fill="CCEEFF" w:val="clear"/>
            <w:vAlign w:val="center"/>
          </w:tcPr>
          <w:p>
            <w:pPr>
              <w:pStyle w:val="TableContents"/>
              <w:bidi w:val="0"/>
              <w:spacing w:before="0" w:after="283"/>
              <w:jc w:val="right"/>
              <w:rPr>
                <w:b/>
              </w:rPr>
            </w:pPr>
            <w:r>
              <w:rPr>
                <w:b/>
              </w:rPr>
              <w:t>(1,448</w:t>
            </w:r>
          </w:p>
        </w:tc>
        <w:tc>
          <w:tcPr>
            <w:tcW w:w="259" w:type="dxa"/>
            <w:tcBorders/>
            <w:shd w:fill="CCEEFF" w:val="clear"/>
            <w:vAlign w:val="center"/>
          </w:tcPr>
          <w:p>
            <w:pPr>
              <w:pStyle w:val="TableContents"/>
              <w:bidi w:val="0"/>
              <w:spacing w:before="0" w:after="283"/>
              <w:jc w:val="left"/>
              <w:rPr>
                <w:b/>
              </w:rPr>
            </w:pPr>
            <w:r>
              <w:rPr>
                <w:b/>
              </w:rPr>
              <w:t>)</w:t>
            </w:r>
          </w:p>
        </w:tc>
      </w:tr>
      <w:tr>
        <w:trPr/>
        <w:tc>
          <w:tcPr>
            <w:tcW w:w="5917" w:type="dxa"/>
            <w:tcBorders/>
            <w:shd w:fill="FFFFFF" w:val="clear"/>
            <w:vAlign w:val="center"/>
          </w:tcPr>
          <w:p>
            <w:pPr>
              <w:pStyle w:val="TableContents"/>
              <w:bidi w:val="0"/>
              <w:spacing w:before="0" w:after="283"/>
              <w:jc w:val="left"/>
              <w:rPr>
                <w:b/>
              </w:rPr>
            </w:pPr>
            <w:r>
              <w:rPr>
                <w:b/>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59" w:type="dxa"/>
            <w:tcBorders/>
            <w:shd w:fill="FFFFFF" w:val="clear"/>
            <w:vAlign w:val="center"/>
          </w:tcPr>
          <w:p>
            <w:pPr>
              <w:pStyle w:val="TableContents"/>
              <w:bidi w:val="0"/>
              <w:spacing w:before="0" w:after="283"/>
              <w:jc w:val="left"/>
              <w:rPr/>
            </w:pPr>
            <w:r>
              <w:rPr/>
              <w:t> </w:t>
            </w:r>
          </w:p>
        </w:tc>
      </w:tr>
      <w:tr>
        <w:trPr/>
        <w:tc>
          <w:tcPr>
            <w:tcW w:w="5917"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7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(7,106</w:t>
            </w:r>
          </w:p>
        </w:tc>
        <w:tc>
          <w:tcPr>
            <w:tcW w:w="136" w:type="dxa"/>
            <w:tcBorders/>
            <w:shd w:fill="CCEEFF" w:val="clear"/>
            <w:vAlign w:val="center"/>
          </w:tcPr>
          <w:p>
            <w:pPr>
              <w:pStyle w:val="TableContents"/>
              <w:bidi w:val="0"/>
              <w:spacing w:before="0" w:after="283"/>
              <w:jc w:val="left"/>
              <w:rPr>
                <w:b/>
              </w:rPr>
            </w:pPr>
            <w:r>
              <w:rPr>
                <w:b/>
              </w:rPr>
              <w:t>)</w:t>
            </w:r>
          </w:p>
        </w:tc>
        <w:tc>
          <w:tcPr>
            <w:tcW w:w="85"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58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(1,448</w:t>
            </w:r>
          </w:p>
        </w:tc>
        <w:tc>
          <w:tcPr>
            <w:tcW w:w="259" w:type="dxa"/>
            <w:tcBorders/>
            <w:shd w:fill="CCEEFF" w:val="clear"/>
            <w:vAlign w:val="center"/>
          </w:tcPr>
          <w:p>
            <w:pPr>
              <w:pStyle w:val="TableContents"/>
              <w:bidi w:val="0"/>
              <w:spacing w:before="0" w:after="283"/>
              <w:jc w:val="left"/>
              <w:rPr>
                <w:b/>
              </w:rPr>
            </w:pPr>
            <w:r>
              <w:rPr>
                <w:b/>
              </w:rPr>
              <w:t>)</w:t>
            </w:r>
          </w:p>
        </w:tc>
      </w:tr>
      <w:tr>
        <w:trPr/>
        <w:tc>
          <w:tcPr>
            <w:tcW w:w="5917"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586"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ind w:left="0" w:right="0" w:firstLine="180"/>
              <w:jc w:val="left"/>
              <w:rPr/>
            </w:pPr>
            <w:r>
              <w:rPr/>
              <w:t> </w:t>
            </w:r>
          </w:p>
        </w:tc>
      </w:tr>
      <w:tr>
        <w:trPr/>
        <w:tc>
          <w:tcPr>
            <w:tcW w:w="5917" w:type="dxa"/>
            <w:tcBorders/>
            <w:shd w:fill="CCEEFF" w:val="clear"/>
            <w:vAlign w:val="center"/>
          </w:tcPr>
          <w:p>
            <w:pPr>
              <w:pStyle w:val="TableContents"/>
              <w:bidi w:val="0"/>
              <w:spacing w:before="0" w:after="283"/>
              <w:jc w:val="left"/>
              <w:rPr/>
            </w:pPr>
            <w:r>
              <w:rPr/>
              <w:t>Change in 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60" w:type="dxa"/>
            <w:tcBorders>
              <w:bottom w:val="single" w:sz="12" w:space="0" w:color="000000"/>
            </w:tcBorders>
            <w:shd w:fill="CCEEFF" w:val="clear"/>
            <w:tcMar>
              <w:bottom w:w="28" w:type="dxa"/>
            </w:tcMar>
            <w:vAlign w:val="center"/>
          </w:tcPr>
          <w:p>
            <w:pPr>
              <w:pStyle w:val="TableContents"/>
              <w:bidi w:val="0"/>
              <w:spacing w:before="0" w:after="283"/>
              <w:jc w:val="right"/>
              <w:rPr/>
            </w:pPr>
            <w:r>
              <w:rPr/>
              <w:t>2,004</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86"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259" w:type="dxa"/>
            <w:tcBorders/>
            <w:shd w:fill="CCEEFF" w:val="clear"/>
            <w:vAlign w:val="center"/>
          </w:tcPr>
          <w:p>
            <w:pPr>
              <w:pStyle w:val="TableContents"/>
              <w:bidi w:val="0"/>
              <w:spacing w:before="0" w:after="283"/>
              <w:jc w:val="left"/>
              <w:rPr/>
            </w:pPr>
            <w:r>
              <w:rPr/>
              <w:t> </w:t>
            </w:r>
          </w:p>
        </w:tc>
      </w:tr>
      <w:tr>
        <w:trPr/>
        <w:tc>
          <w:tcPr>
            <w:tcW w:w="5917" w:type="dxa"/>
            <w:tcBorders/>
            <w:shd w:fill="FFFFFF" w:val="clear"/>
            <w:vAlign w:val="center"/>
          </w:tcPr>
          <w:p>
            <w:pPr>
              <w:pStyle w:val="TableContents"/>
              <w:bidi w:val="0"/>
              <w:spacing w:before="0" w:after="283"/>
              <w:jc w:val="left"/>
              <w:rPr>
                <w:b/>
              </w:rPr>
            </w:pPr>
            <w:r>
              <w:rPr>
                <w:b/>
              </w:rPr>
              <w:t>Total comprehensive loss</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7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(5,102</w:t>
            </w:r>
          </w:p>
        </w:tc>
        <w:tc>
          <w:tcPr>
            <w:tcW w:w="136" w:type="dxa"/>
            <w:tcBorders/>
            <w:shd w:fill="FFFFFF" w:val="clear"/>
            <w:vAlign w:val="center"/>
          </w:tcPr>
          <w:p>
            <w:pPr>
              <w:pStyle w:val="TableContents"/>
              <w:bidi w:val="0"/>
              <w:spacing w:before="0" w:after="283"/>
              <w:jc w:val="left"/>
              <w:rPr>
                <w:b/>
              </w:rPr>
            </w:pPr>
            <w:r>
              <w:rPr>
                <w:b/>
              </w:rPr>
              <w:t>)</w:t>
            </w:r>
          </w:p>
        </w:tc>
        <w:tc>
          <w:tcPr>
            <w:tcW w:w="85" w:type="dxa"/>
            <w:tcBorders/>
            <w:shd w:fill="FFFFFF" w:val="clear"/>
            <w:vAlign w:val="center"/>
          </w:tcPr>
          <w:p>
            <w:pPr>
              <w:pStyle w:val="TableContents"/>
              <w:bidi w:val="0"/>
              <w:spacing w:before="0" w:after="283"/>
              <w:jc w:val="left"/>
              <w:rPr/>
            </w:pPr>
            <w:r>
              <w:rPr/>
              <w:t> </w:t>
            </w:r>
          </w:p>
        </w:tc>
        <w:tc>
          <w:tcPr>
            <w:tcW w:w="20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58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(1,442</w:t>
            </w:r>
          </w:p>
        </w:tc>
        <w:tc>
          <w:tcPr>
            <w:tcW w:w="259" w:type="dxa"/>
            <w:tcBorders/>
            <w:shd w:fill="FFFFFF" w:val="clear"/>
            <w:vAlign w:val="center"/>
          </w:tcPr>
          <w:p>
            <w:pPr>
              <w:pStyle w:val="TableContents"/>
              <w:bidi w:val="0"/>
              <w:spacing w:before="0" w:after="283"/>
              <w:jc w:val="left"/>
              <w:rPr>
                <w:b/>
              </w:rPr>
            </w:pPr>
            <w:r>
              <w:rPr>
                <w:b/>
              </w:rPr>
              <w:t>)</w:t>
            </w:r>
          </w:p>
        </w:tc>
      </w:tr>
      <w:tr>
        <w:trPr/>
        <w:tc>
          <w:tcPr>
            <w:tcW w:w="59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6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8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59" w:type="dxa"/>
            <w:tcBorders/>
            <w:shd w:fill="CCEEFF" w:val="clear"/>
            <w:vAlign w:val="center"/>
          </w:tcPr>
          <w:p>
            <w:pPr>
              <w:pStyle w:val="TableContents"/>
              <w:bidi w:val="0"/>
              <w:spacing w:before="0" w:after="283"/>
              <w:jc w:val="left"/>
              <w:rPr/>
            </w:pPr>
            <w:r>
              <w:rPr/>
              <w:t> </w:t>
            </w:r>
          </w:p>
        </w:tc>
      </w:tr>
      <w:tr>
        <w:trPr/>
        <w:tc>
          <w:tcPr>
            <w:tcW w:w="5917" w:type="dxa"/>
            <w:tcBorders/>
            <w:shd w:fill="FFFFFF" w:val="clear"/>
            <w:vAlign w:val="center"/>
          </w:tcPr>
          <w:p>
            <w:pPr>
              <w:pStyle w:val="TableContents"/>
              <w:bidi w:val="0"/>
              <w:spacing w:before="0" w:after="283"/>
              <w:jc w:val="left"/>
              <w:rPr>
                <w:b/>
              </w:rPr>
            </w:pPr>
            <w:r>
              <w:rPr>
                <w:b/>
              </w:rPr>
              <w:t>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7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(0.06</w:t>
            </w:r>
          </w:p>
        </w:tc>
        <w:tc>
          <w:tcPr>
            <w:tcW w:w="136" w:type="dxa"/>
            <w:tcBorders/>
            <w:shd w:fill="FFFFFF" w:val="clear"/>
            <w:vAlign w:val="center"/>
          </w:tcPr>
          <w:p>
            <w:pPr>
              <w:pStyle w:val="TableContents"/>
              <w:bidi w:val="0"/>
              <w:spacing w:before="0" w:after="283"/>
              <w:jc w:val="left"/>
              <w:rPr>
                <w:b/>
              </w:rPr>
            </w:pPr>
            <w:r>
              <w:rPr>
                <w:b/>
              </w:rPr>
              <w:t>)</w:t>
            </w:r>
          </w:p>
        </w:tc>
        <w:tc>
          <w:tcPr>
            <w:tcW w:w="85" w:type="dxa"/>
            <w:tcBorders/>
            <w:shd w:fill="FFFFFF" w:val="clear"/>
            <w:vAlign w:val="center"/>
          </w:tcPr>
          <w:p>
            <w:pPr>
              <w:pStyle w:val="TableContents"/>
              <w:bidi w:val="0"/>
              <w:spacing w:before="0" w:after="283"/>
              <w:jc w:val="left"/>
              <w:rPr/>
            </w:pPr>
            <w:r>
              <w:rPr/>
              <w:t> </w:t>
            </w:r>
          </w:p>
        </w:tc>
        <w:tc>
          <w:tcPr>
            <w:tcW w:w="20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58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(0.03</w:t>
            </w:r>
          </w:p>
        </w:tc>
        <w:tc>
          <w:tcPr>
            <w:tcW w:w="259" w:type="dxa"/>
            <w:tcBorders/>
            <w:shd w:fill="FFFFFF" w:val="clear"/>
            <w:vAlign w:val="center"/>
          </w:tcPr>
          <w:p>
            <w:pPr>
              <w:pStyle w:val="TableContents"/>
              <w:bidi w:val="0"/>
              <w:spacing w:before="0" w:after="283"/>
              <w:jc w:val="left"/>
              <w:rPr>
                <w:b/>
              </w:rPr>
            </w:pPr>
            <w:r>
              <w:rPr>
                <w:b/>
              </w:rPr>
              <w:t>)</w:t>
            </w:r>
          </w:p>
        </w:tc>
      </w:tr>
      <w:tr>
        <w:trPr/>
        <w:tc>
          <w:tcPr>
            <w:tcW w:w="5917" w:type="dxa"/>
            <w:tcBorders/>
            <w:shd w:fill="CCEEFF" w:val="clear"/>
            <w:vAlign w:val="center"/>
          </w:tcPr>
          <w:p>
            <w:pPr>
              <w:pStyle w:val="TableContents"/>
              <w:bidi w:val="0"/>
              <w:spacing w:before="0" w:after="283"/>
              <w:jc w:val="left"/>
              <w:rPr>
                <w:b/>
              </w:rPr>
            </w:pPr>
            <w:r>
              <w:rPr>
                <w:b/>
              </w:rPr>
              <w:t>Weighted-average ordinary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7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110,226,198</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8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47,500,000</w:t>
            </w:r>
          </w:p>
        </w:tc>
        <w:tc>
          <w:tcPr>
            <w:tcW w:w="25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br/>
        <w:t>(Formerly Terra Innovatum Global Srl.)</w:t>
        <w:br/>
        <w:t>Interim Condensed Consolidated Statements of Changes in Shareholders’ Deficit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 amounts in USD)(in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4"/>
        <w:gridCol w:w="60"/>
        <w:gridCol w:w="454"/>
        <w:gridCol w:w="331"/>
        <w:gridCol w:w="60"/>
        <w:gridCol w:w="60"/>
        <w:gridCol w:w="115"/>
        <w:gridCol w:w="385"/>
        <w:gridCol w:w="71"/>
        <w:gridCol w:w="71"/>
        <w:gridCol w:w="150"/>
        <w:gridCol w:w="521"/>
        <w:gridCol w:w="60"/>
        <w:gridCol w:w="60"/>
        <w:gridCol w:w="60"/>
        <w:gridCol w:w="920"/>
        <w:gridCol w:w="60"/>
        <w:gridCol w:w="60"/>
        <w:gridCol w:w="124"/>
        <w:gridCol w:w="481"/>
        <w:gridCol w:w="60"/>
        <w:gridCol w:w="60"/>
        <w:gridCol w:w="120"/>
        <w:gridCol w:w="665"/>
        <w:gridCol w:w="60"/>
        <w:gridCol w:w="60"/>
        <w:gridCol w:w="136"/>
        <w:gridCol w:w="829"/>
        <w:gridCol w:w="80"/>
        <w:gridCol w:w="60"/>
        <w:gridCol w:w="209"/>
        <w:gridCol w:w="1105"/>
        <w:gridCol w:w="80"/>
        <w:gridCol w:w="60"/>
        <w:gridCol w:w="154"/>
        <w:gridCol w:w="811"/>
        <w:gridCol w:w="99"/>
      </w:tblGrid>
      <w:tr>
        <w:trPr/>
        <w:tc>
          <w:tcPr>
            <w:tcW w:w="14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3" w:type="dxa"/>
            <w:gridSpan w:val="6"/>
            <w:tcBorders/>
            <w:vAlign w:val="center"/>
          </w:tcPr>
          <w:p>
            <w:pPr>
              <w:pStyle w:val="TableContents"/>
              <w:bidi w:val="0"/>
              <w:spacing w:before="0" w:after="283"/>
              <w:jc w:val="center"/>
              <w:rPr>
                <w:b/>
                <w:sz w:val="16"/>
              </w:rPr>
            </w:pPr>
            <w:r>
              <w:rPr>
                <w:b/>
                <w:sz w:val="16"/>
              </w:rPr>
              <w:t>Convertible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4" w:type="dxa"/>
            <w:gridSpan w:val="2"/>
            <w:tcBorders/>
            <w:vAlign w:val="center"/>
          </w:tcPr>
          <w:p>
            <w:pPr>
              <w:pStyle w:val="TableContents"/>
              <w:bidi w:val="0"/>
              <w:spacing w:before="0" w:after="283"/>
              <w:jc w:val="center"/>
              <w:rPr>
                <w:b/>
                <w:sz w:val="16"/>
              </w:rPr>
            </w:pPr>
            <w:r>
              <w:rPr>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sz w:val="16"/>
              </w:rPr>
            </w:pPr>
            <w:r>
              <w:rPr>
                <w:b/>
                <w:sz w:val="16"/>
              </w:rPr>
              <w:t>Total</w:t>
            </w:r>
          </w:p>
        </w:tc>
        <w:tc>
          <w:tcPr>
            <w:tcW w:w="99" w:type="dxa"/>
            <w:tcBorders/>
            <w:vAlign w:val="center"/>
          </w:tcPr>
          <w:p>
            <w:pPr>
              <w:pStyle w:val="TableContents"/>
              <w:bidi w:val="0"/>
              <w:spacing w:before="0" w:after="283"/>
              <w:jc w:val="left"/>
              <w:rPr/>
            </w:pPr>
            <w:r>
              <w:rPr/>
              <w:t> </w:t>
            </w:r>
          </w:p>
        </w:tc>
      </w:tr>
      <w:tr>
        <w:trPr/>
        <w:tc>
          <w:tcPr>
            <w:tcW w:w="14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Corporate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3"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Preferred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b/>
                <w:sz w:val="16"/>
              </w:rPr>
            </w:pPr>
            <w:r>
              <w:rPr>
                <w:b/>
                <w:sz w:val="16"/>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sz w:val="16"/>
              </w:rPr>
            </w:pPr>
            <w:r>
              <w:rPr>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4" w:type="dxa"/>
            <w:gridSpan w:val="2"/>
            <w:tcBorders/>
            <w:vAlign w:val="center"/>
          </w:tcPr>
          <w:p>
            <w:pPr>
              <w:pStyle w:val="TableContents"/>
              <w:bidi w:val="0"/>
              <w:spacing w:before="0" w:after="283"/>
              <w:jc w:val="center"/>
              <w:rPr>
                <w:b/>
                <w:sz w:val="16"/>
              </w:rPr>
            </w:pPr>
            <w:r>
              <w:rPr>
                <w:b/>
                <w:sz w:val="16"/>
              </w:rPr>
              <w:t>other 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sz w:val="16"/>
              </w:rPr>
            </w:pPr>
            <w:r>
              <w:rPr>
                <w:b/>
                <w:sz w:val="16"/>
              </w:rPr>
              <w:t>shareholders’</w:t>
            </w:r>
          </w:p>
        </w:tc>
        <w:tc>
          <w:tcPr>
            <w:tcW w:w="99" w:type="dxa"/>
            <w:tcBorders/>
            <w:vAlign w:val="center"/>
          </w:tcPr>
          <w:p>
            <w:pPr>
              <w:pStyle w:val="TableContents"/>
              <w:bidi w:val="0"/>
              <w:spacing w:before="0" w:after="283"/>
              <w:jc w:val="left"/>
              <w:rPr/>
            </w:pPr>
            <w:r>
              <w:rPr/>
              <w:t> </w:t>
            </w:r>
          </w:p>
        </w:tc>
      </w:tr>
      <w:tr>
        <w:trPr/>
        <w:tc>
          <w:tcPr>
            <w:tcW w:w="1454" w:type="dxa"/>
            <w:tcBorders>
              <w:bottom w:val="single" w:sz="12" w:space="0" w:color="000000"/>
            </w:tcBorders>
            <w:tcMar>
              <w:bottom w:w="28" w:type="dxa"/>
            </w:tcMar>
            <w:vAlign w:val="center"/>
          </w:tcPr>
          <w:p>
            <w:pPr>
              <w:pStyle w:val="TableContents"/>
              <w:bidi w:val="0"/>
              <w:spacing w:before="0" w:after="283"/>
              <w:jc w:val="left"/>
              <w:rPr>
                <w:b/>
                <w:sz w:val="16"/>
              </w:rPr>
            </w:pPr>
            <w:r>
              <w:rPr>
                <w:b/>
                <w:sz w:val="16"/>
              </w:rPr>
              <w:t>Unaudited</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left"/>
              <w:rPr>
                <w:b/>
                <w:sz w:val="16"/>
              </w:rPr>
            </w:pPr>
            <w:r>
              <w:rPr>
                <w:b/>
                <w:sz w:val="16"/>
              </w:rPr>
              <w:t>Shares</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671"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4"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(loss) 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w:t>
            </w:r>
          </w:p>
        </w:tc>
        <w:tc>
          <w:tcPr>
            <w:tcW w:w="99" w:type="dxa"/>
            <w:tcBorders/>
            <w:vAlign w:val="center"/>
          </w:tcPr>
          <w:p>
            <w:pPr>
              <w:pStyle w:val="TableContents"/>
              <w:bidi w:val="0"/>
              <w:spacing w:before="0" w:after="283"/>
              <w:ind w:left="0" w:right="0" w:hanging="180"/>
              <w:jc w:val="left"/>
              <w:rPr/>
            </w:pPr>
            <w:r>
              <w:rPr/>
              <w:t> </w:t>
            </w:r>
          </w:p>
        </w:tc>
      </w:tr>
      <w:tr>
        <w:trPr/>
        <w:tc>
          <w:tcPr>
            <w:tcW w:w="1454" w:type="dxa"/>
            <w:tcBorders/>
            <w:shd w:fill="CCEEFF" w:val="clear"/>
            <w:vAlign w:val="center"/>
          </w:tcPr>
          <w:p>
            <w:pPr>
              <w:pStyle w:val="TableContents"/>
              <w:bidi w:val="0"/>
              <w:spacing w:before="0" w:after="283"/>
              <w:jc w:val="left"/>
              <w:rPr>
                <w:b/>
                <w:sz w:val="16"/>
              </w:rPr>
            </w:pPr>
            <w:r>
              <w:rPr>
                <w:b/>
                <w:sz w:val="16"/>
              </w:rPr>
              <w:t>Balance at January 1, 2026</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b/>
                <w:sz w:val="16"/>
              </w:rPr>
            </w:pPr>
            <w:r>
              <w:rPr>
                <w:b/>
                <w:sz w:val="16"/>
              </w:rPr>
              <w:t>$</w:t>
            </w:r>
          </w:p>
        </w:tc>
        <w:tc>
          <w:tcPr>
            <w:tcW w:w="331" w:type="dxa"/>
            <w:tcBorders/>
            <w:shd w:fill="CCEEFF" w:val="clear"/>
            <w:vAlign w:val="center"/>
          </w:tcPr>
          <w:p>
            <w:pPr>
              <w:pStyle w:val="TableContents"/>
              <w:bidi w:val="0"/>
              <w:spacing w:before="0" w:after="283"/>
              <w:jc w:val="righ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b/>
                <w:sz w:val="16"/>
              </w:rPr>
            </w:pPr>
            <w:r>
              <w:rPr>
                <w:b/>
                <w:sz w:val="16"/>
              </w:rPr>
              <w:t>20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b/>
                <w:sz w:val="16"/>
              </w:rPr>
            </w:pPr>
            <w:r>
              <w:rPr>
                <w:b/>
                <w:sz w:val="16"/>
              </w:rPr>
              <w:t>$</w:t>
            </w:r>
          </w:p>
        </w:tc>
        <w:tc>
          <w:tcPr>
            <w:tcW w:w="521" w:type="dxa"/>
            <w:tcBorders/>
            <w:shd w:fill="CCEEFF" w:val="clear"/>
            <w:vAlign w:val="center"/>
          </w:tcPr>
          <w:p>
            <w:pPr>
              <w:pStyle w:val="TableContents"/>
              <w:bidi w:val="0"/>
              <w:spacing w:before="0" w:after="283"/>
              <w:jc w:val="right"/>
              <w:rPr>
                <w:b/>
                <w:sz w:val="16"/>
              </w:rPr>
            </w:pPr>
            <w:r>
              <w:rPr>
                <w:b/>
                <w:sz w:val="16"/>
              </w:rPr>
              <w:t>3,086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b/>
                <w:sz w:val="16"/>
              </w:rPr>
            </w:pPr>
            <w:r>
              <w:rPr>
                <w:b/>
                <w:sz w:val="16"/>
              </w:rPr>
              <w:t>110,226,198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b/>
                <w:sz w:val="16"/>
              </w:rPr>
            </w:pPr>
            <w:r>
              <w:rPr>
                <w:b/>
                <w:sz w:val="16"/>
              </w:rPr>
              <w:t>$</w:t>
            </w:r>
          </w:p>
        </w:tc>
        <w:tc>
          <w:tcPr>
            <w:tcW w:w="481" w:type="dxa"/>
            <w:tcBorders/>
            <w:shd w:fill="CCEEFF" w:val="clear"/>
            <w:vAlign w:val="center"/>
          </w:tcPr>
          <w:p>
            <w:pPr>
              <w:pStyle w:val="TableContents"/>
              <w:bidi w:val="0"/>
              <w:spacing w:before="0" w:after="283"/>
              <w:jc w:val="right"/>
              <w:rPr>
                <w:b/>
                <w:sz w:val="16"/>
              </w:rPr>
            </w:pPr>
            <w:r>
              <w:rPr>
                <w:b/>
                <w:sz w:val="16"/>
              </w:rPr>
              <w:t>1,281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b/>
                <w:sz w:val="16"/>
              </w:rPr>
            </w:pPr>
            <w:r>
              <w:rPr>
                <w:b/>
                <w:sz w:val="16"/>
              </w:rPr>
              <w:t>$</w:t>
            </w:r>
          </w:p>
        </w:tc>
        <w:tc>
          <w:tcPr>
            <w:tcW w:w="665" w:type="dxa"/>
            <w:tcBorders/>
            <w:shd w:fill="CCEEFF" w:val="clear"/>
            <w:vAlign w:val="center"/>
          </w:tcPr>
          <w:p>
            <w:pPr>
              <w:pStyle w:val="TableContents"/>
              <w:bidi w:val="0"/>
              <w:spacing w:before="0" w:after="283"/>
              <w:jc w:val="right"/>
              <w:rPr>
                <w:b/>
                <w:sz w:val="16"/>
              </w:rPr>
            </w:pPr>
            <w:r>
              <w:rPr>
                <w:b/>
                <w:sz w:val="16"/>
              </w:rPr>
              <w:t>519,422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b/>
                <w:sz w:val="16"/>
              </w:rPr>
            </w:pPr>
            <w:r>
              <w:rPr>
                <w:b/>
                <w:sz w:val="16"/>
              </w:rPr>
              <w:t>$</w:t>
            </w:r>
          </w:p>
        </w:tc>
        <w:tc>
          <w:tcPr>
            <w:tcW w:w="829" w:type="dxa"/>
            <w:tcBorders/>
            <w:shd w:fill="CCEEFF" w:val="clear"/>
            <w:vAlign w:val="center"/>
          </w:tcPr>
          <w:p>
            <w:pPr>
              <w:pStyle w:val="TableContents"/>
              <w:bidi w:val="0"/>
              <w:spacing w:before="0" w:after="283"/>
              <w:jc w:val="right"/>
              <w:rPr>
                <w:b/>
                <w:sz w:val="16"/>
              </w:rPr>
            </w:pPr>
            <w:r>
              <w:rPr>
                <w:b/>
                <w:sz w:val="16"/>
              </w:rPr>
              <w:t>(607,276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b/>
                <w:sz w:val="16"/>
              </w:rPr>
            </w:pPr>
            <w:r>
              <w:rPr>
                <w:b/>
                <w:sz w:val="16"/>
              </w:rPr>
              <w:t>$</w:t>
            </w:r>
          </w:p>
        </w:tc>
        <w:tc>
          <w:tcPr>
            <w:tcW w:w="1105" w:type="dxa"/>
            <w:tcBorders/>
            <w:shd w:fill="CCEEFF" w:val="clear"/>
            <w:vAlign w:val="center"/>
          </w:tcPr>
          <w:p>
            <w:pPr>
              <w:pStyle w:val="TableContents"/>
              <w:bidi w:val="0"/>
              <w:spacing w:before="0" w:after="283"/>
              <w:jc w:val="right"/>
              <w:rPr>
                <w:b/>
                <w:sz w:val="16"/>
              </w:rPr>
            </w:pPr>
            <w:r>
              <w:rPr>
                <w:b/>
                <w:sz w:val="16"/>
              </w:rPr>
              <w:t>(10,103</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b/>
                <w:sz w:val="16"/>
              </w:rPr>
            </w:pPr>
            <w:r>
              <w:rPr>
                <w:b/>
                <w:sz w:val="16"/>
              </w:rPr>
              <w:t>$</w:t>
            </w:r>
          </w:p>
        </w:tc>
        <w:tc>
          <w:tcPr>
            <w:tcW w:w="811" w:type="dxa"/>
            <w:tcBorders/>
            <w:shd w:fill="CCEEFF" w:val="clear"/>
            <w:vAlign w:val="center"/>
          </w:tcPr>
          <w:p>
            <w:pPr>
              <w:pStyle w:val="TableContents"/>
              <w:bidi w:val="0"/>
              <w:spacing w:before="0" w:after="283"/>
              <w:jc w:val="right"/>
              <w:rPr>
                <w:b/>
                <w:sz w:val="16"/>
              </w:rPr>
            </w:pPr>
            <w:r>
              <w:rPr>
                <w:b/>
                <w:sz w:val="16"/>
              </w:rPr>
              <w:t>(93,590</w:t>
            </w:r>
          </w:p>
        </w:tc>
        <w:tc>
          <w:tcPr>
            <w:tcW w:w="99" w:type="dxa"/>
            <w:tcBorders/>
            <w:shd w:fill="CCEEFF" w:val="clear"/>
            <w:vAlign w:val="center"/>
          </w:tcPr>
          <w:p>
            <w:pPr>
              <w:pStyle w:val="TableContents"/>
              <w:bidi w:val="0"/>
              <w:spacing w:before="0" w:after="283"/>
              <w:jc w:val="left"/>
              <w:rPr>
                <w:b/>
                <w:sz w:val="16"/>
              </w:rPr>
            </w:pPr>
            <w:r>
              <w:rPr>
                <w:b/>
                <w:sz w:val="16"/>
              </w:rPr>
              <w:t>)</w:t>
            </w:r>
          </w:p>
        </w:tc>
      </w:tr>
      <w:tr>
        <w:trPr/>
        <w:tc>
          <w:tcPr>
            <w:tcW w:w="1454"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sz w:val="16"/>
              </w:rPr>
            </w:pPr>
            <w:r>
              <w:rPr>
                <w:sz w:val="16"/>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sz w:val="16"/>
              </w:rPr>
            </w:pPr>
            <w:r>
              <w:rPr>
                <w:sz w:val="16"/>
              </w:rPr>
              <w:t>(7,106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b/>
                <w:sz w:val="16"/>
              </w:rPr>
            </w:pPr>
            <w:r>
              <w:rPr>
                <w:b/>
                <w:sz w:val="16"/>
              </w:rPr>
              <w:t>(7,106</w:t>
            </w:r>
          </w:p>
        </w:tc>
        <w:tc>
          <w:tcPr>
            <w:tcW w:w="99" w:type="dxa"/>
            <w:tcBorders/>
            <w:shd w:fill="FFFFFF" w:val="clear"/>
            <w:vAlign w:val="center"/>
          </w:tcPr>
          <w:p>
            <w:pPr>
              <w:pStyle w:val="TableContents"/>
              <w:bidi w:val="0"/>
              <w:spacing w:before="0" w:after="283"/>
              <w:ind w:left="0" w:right="0" w:hanging="180"/>
              <w:jc w:val="left"/>
              <w:rPr>
                <w:b/>
                <w:sz w:val="16"/>
              </w:rPr>
            </w:pPr>
            <w:r>
              <w:rPr>
                <w:b/>
                <w:sz w:val="16"/>
              </w:rPr>
              <w:t>)</w:t>
            </w:r>
          </w:p>
        </w:tc>
      </w:tr>
      <w:tr>
        <w:trPr/>
        <w:tc>
          <w:tcPr>
            <w:tcW w:w="1454" w:type="dxa"/>
            <w:tcBorders/>
            <w:shd w:fill="CCEEFF" w:val="clear"/>
            <w:vAlign w:val="center"/>
          </w:tcPr>
          <w:p>
            <w:pPr>
              <w:pStyle w:val="TableContents"/>
              <w:bidi w:val="0"/>
              <w:spacing w:before="0" w:after="283"/>
              <w:jc w:val="left"/>
              <w:rPr>
                <w:sz w:val="16"/>
              </w:rPr>
            </w:pPr>
            <w:r>
              <w:rPr>
                <w:sz w:val="16"/>
              </w:rPr>
              <w:t>Foreign currency translation</w:t>
            </w:r>
          </w:p>
        </w:tc>
        <w:tc>
          <w:tcPr>
            <w:tcW w:w="60" w:type="dxa"/>
            <w:tcBorders/>
            <w:shd w:fill="CCEEFF" w:val="clear"/>
            <w:vAlign w:val="center"/>
          </w:tcPr>
          <w:p>
            <w:pPr>
              <w:pStyle w:val="TableContents"/>
              <w:bidi w:val="0"/>
              <w:spacing w:before="0" w:after="283"/>
              <w:jc w:val="left"/>
              <w:rPr/>
            </w:pPr>
            <w:r>
              <w:rPr/>
              <w:t> </w:t>
            </w:r>
          </w:p>
        </w:tc>
        <w:tc>
          <w:tcPr>
            <w:tcW w:w="4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shd w:fill="CCEEFF" w:val="clear"/>
            <w:tcMar>
              <w:bottom w:w="28" w:type="dxa"/>
            </w:tcMar>
            <w:vAlign w:val="center"/>
          </w:tcPr>
          <w:p>
            <w:pPr>
              <w:pStyle w:val="TableContents"/>
              <w:bidi w:val="0"/>
              <w:spacing w:before="0" w:after="283"/>
              <w:jc w:val="right"/>
              <w:rPr>
                <w:b/>
                <w:sz w:val="16"/>
              </w:rPr>
            </w:pPr>
            <w:r>
              <w:rPr>
                <w:b/>
                <w:sz w:val="16"/>
              </w:rPr>
              <w:t>2,004</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1454" w:type="dxa"/>
            <w:tcBorders/>
            <w:shd w:fill="FFFFFF" w:val="clear"/>
            <w:vAlign w:val="center"/>
          </w:tcPr>
          <w:p>
            <w:pPr>
              <w:pStyle w:val="TableContents"/>
              <w:bidi w:val="0"/>
              <w:spacing w:before="0" w:after="283"/>
              <w:jc w:val="left"/>
              <w:rPr>
                <w:b/>
                <w:sz w:val="16"/>
              </w:rPr>
            </w:pPr>
            <w:r>
              <w:rPr>
                <w:b/>
                <w:sz w:val="16"/>
              </w:rPr>
              <w:t>Balance at March 31, 2026</w:t>
            </w:r>
          </w:p>
        </w:tc>
        <w:tc>
          <w:tcPr>
            <w:tcW w:w="60" w:type="dxa"/>
            <w:tcBorders/>
            <w:shd w:fill="FFFFFF" w:val="clear"/>
            <w:vAlign w:val="center"/>
          </w:tcPr>
          <w:p>
            <w:pPr>
              <w:pStyle w:val="TableContents"/>
              <w:bidi w:val="0"/>
              <w:spacing w:before="0" w:after="283"/>
              <w:jc w:val="left"/>
              <w:rPr/>
            </w:pPr>
            <w:r>
              <w:rPr/>
              <w:t> </w:t>
            </w:r>
          </w:p>
        </w:tc>
        <w:tc>
          <w:tcPr>
            <w:tcW w:w="454"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331"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38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20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521"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3,086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110,226,198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481"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519,422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29"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(614,382</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110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(8,099</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811"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(98,692</w:t>
            </w:r>
          </w:p>
        </w:tc>
        <w:tc>
          <w:tcPr>
            <w:tcW w:w="99" w:type="dxa"/>
            <w:tcBorders/>
            <w:shd w:fill="FFFFFF" w:val="clear"/>
            <w:vAlign w:val="center"/>
          </w:tcPr>
          <w:p>
            <w:pPr>
              <w:pStyle w:val="TableContents"/>
              <w:bidi w:val="0"/>
              <w:spacing w:before="0" w:after="283"/>
              <w:jc w:val="left"/>
              <w:rPr>
                <w:b/>
                <w:sz w:val="16"/>
              </w:rPr>
            </w:pPr>
            <w:r>
              <w:rPr>
                <w:b/>
                <w:sz w:val="16"/>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5"/>
        <w:gridCol w:w="60"/>
        <w:gridCol w:w="308"/>
        <w:gridCol w:w="477"/>
        <w:gridCol w:w="80"/>
        <w:gridCol w:w="60"/>
        <w:gridCol w:w="214"/>
        <w:gridCol w:w="286"/>
        <w:gridCol w:w="127"/>
        <w:gridCol w:w="127"/>
        <w:gridCol w:w="346"/>
        <w:gridCol w:w="259"/>
        <w:gridCol w:w="60"/>
        <w:gridCol w:w="60"/>
        <w:gridCol w:w="60"/>
        <w:gridCol w:w="830"/>
        <w:gridCol w:w="60"/>
        <w:gridCol w:w="60"/>
        <w:gridCol w:w="166"/>
        <w:gridCol w:w="439"/>
        <w:gridCol w:w="60"/>
        <w:gridCol w:w="60"/>
        <w:gridCol w:w="187"/>
        <w:gridCol w:w="598"/>
        <w:gridCol w:w="80"/>
        <w:gridCol w:w="60"/>
        <w:gridCol w:w="178"/>
        <w:gridCol w:w="787"/>
        <w:gridCol w:w="80"/>
        <w:gridCol w:w="60"/>
        <w:gridCol w:w="591"/>
        <w:gridCol w:w="594"/>
        <w:gridCol w:w="60"/>
        <w:gridCol w:w="60"/>
        <w:gridCol w:w="174"/>
        <w:gridCol w:w="774"/>
        <w:gridCol w:w="98"/>
      </w:tblGrid>
      <w:tr>
        <w:trPr/>
        <w:tc>
          <w:tcPr>
            <w:tcW w:w="162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9" w:type="dxa"/>
            <w:gridSpan w:val="6"/>
            <w:tcBorders/>
            <w:vAlign w:val="center"/>
          </w:tcPr>
          <w:p>
            <w:pPr>
              <w:pStyle w:val="TableContents"/>
              <w:bidi w:val="0"/>
              <w:spacing w:before="0" w:after="283"/>
              <w:jc w:val="center"/>
              <w:rPr>
                <w:b/>
                <w:sz w:val="16"/>
              </w:rPr>
            </w:pPr>
            <w:r>
              <w:rPr>
                <w:b/>
                <w:sz w:val="16"/>
              </w:rPr>
              <w:t>Convertible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5" w:type="dxa"/>
            <w:gridSpan w:val="2"/>
            <w:tcBorders/>
            <w:vAlign w:val="center"/>
          </w:tcPr>
          <w:p>
            <w:pPr>
              <w:pStyle w:val="TableContents"/>
              <w:bidi w:val="0"/>
              <w:spacing w:before="0" w:after="283"/>
              <w:jc w:val="center"/>
              <w:rPr>
                <w:b/>
                <w:sz w:val="16"/>
              </w:rPr>
            </w:pPr>
            <w:r>
              <w:rPr>
                <w:b/>
                <w:sz w:val="16"/>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 w:type="dxa"/>
            <w:gridSpan w:val="2"/>
            <w:tcBorders/>
            <w:vAlign w:val="center"/>
          </w:tcPr>
          <w:p>
            <w:pPr>
              <w:pStyle w:val="TableContents"/>
              <w:bidi w:val="0"/>
              <w:spacing w:before="0" w:after="283"/>
              <w:jc w:val="center"/>
              <w:rPr>
                <w:b/>
                <w:sz w:val="16"/>
              </w:rPr>
            </w:pPr>
            <w:r>
              <w:rPr>
                <w:b/>
                <w:sz w:val="16"/>
              </w:rPr>
              <w:t>Total</w:t>
            </w:r>
          </w:p>
        </w:tc>
        <w:tc>
          <w:tcPr>
            <w:tcW w:w="98" w:type="dxa"/>
            <w:tcBorders/>
            <w:vAlign w:val="center"/>
          </w:tcPr>
          <w:p>
            <w:pPr>
              <w:pStyle w:val="TableContents"/>
              <w:bidi w:val="0"/>
              <w:spacing w:before="0" w:after="283"/>
              <w:ind w:left="0" w:right="0" w:hanging="180"/>
              <w:jc w:val="left"/>
              <w:rPr/>
            </w:pPr>
            <w:r>
              <w:rPr/>
              <w:t> </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b/>
                <w:sz w:val="16"/>
              </w:rPr>
            </w:pPr>
            <w:r>
              <w:rPr>
                <w:b/>
                <w:sz w:val="16"/>
              </w:rPr>
              <w:t>Corporate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9"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Preferred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b/>
              </w:rPr>
            </w:pPr>
            <w:r>
              <w:rPr>
                <w:b/>
                <w:sz w:val="16"/>
              </w:rPr>
              <w:t>Additional</w:t>
            </w:r>
            <w:r>
              <w:rPr>
                <w:b/>
              </w:rPr>
              <w:br/>
            </w:r>
            <w:r>
              <w:rPr>
                <w:b/>
                <w:sz w:val="16"/>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sz w:val="16"/>
              </w:rPr>
            </w:pPr>
            <w:r>
              <w:rPr>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5" w:type="dxa"/>
            <w:gridSpan w:val="2"/>
            <w:tcBorders/>
            <w:vAlign w:val="center"/>
          </w:tcPr>
          <w:p>
            <w:pPr>
              <w:pStyle w:val="TableContents"/>
              <w:bidi w:val="0"/>
              <w:spacing w:before="0" w:after="283"/>
              <w:jc w:val="center"/>
              <w:rPr>
                <w:b/>
                <w:sz w:val="16"/>
              </w:rPr>
            </w:pPr>
            <w:r>
              <w:rPr>
                <w:b/>
                <w:sz w:val="16"/>
              </w:rPr>
              <w:t>other 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 w:type="dxa"/>
            <w:gridSpan w:val="2"/>
            <w:tcBorders/>
            <w:vAlign w:val="center"/>
          </w:tcPr>
          <w:p>
            <w:pPr>
              <w:pStyle w:val="TableContents"/>
              <w:bidi w:val="0"/>
              <w:spacing w:before="0" w:after="283"/>
              <w:jc w:val="center"/>
              <w:rPr>
                <w:b/>
                <w:sz w:val="16"/>
              </w:rPr>
            </w:pPr>
            <w:r>
              <w:rPr>
                <w:b/>
                <w:sz w:val="16"/>
              </w:rPr>
              <w:t>shareholders’</w:t>
            </w:r>
          </w:p>
        </w:tc>
        <w:tc>
          <w:tcPr>
            <w:tcW w:w="98" w:type="dxa"/>
            <w:tcBorders/>
            <w:vAlign w:val="center"/>
          </w:tcPr>
          <w:p>
            <w:pPr>
              <w:pStyle w:val="TableContents"/>
              <w:bidi w:val="0"/>
              <w:spacing w:before="0" w:after="283"/>
              <w:ind w:left="0" w:right="0" w:hanging="180"/>
              <w:jc w:val="left"/>
              <w:rPr/>
            </w:pPr>
            <w:r>
              <w:rPr/>
              <w:t> </w:t>
            </w:r>
          </w:p>
        </w:tc>
      </w:tr>
      <w:tr>
        <w:trPr/>
        <w:tc>
          <w:tcPr>
            <w:tcW w:w="1625" w:type="dxa"/>
            <w:tcBorders>
              <w:bottom w:val="single" w:sz="12" w:space="0" w:color="000000"/>
            </w:tcBorders>
            <w:tcMar>
              <w:bottom w:w="28" w:type="dxa"/>
            </w:tcMar>
            <w:vAlign w:val="center"/>
          </w:tcPr>
          <w:p>
            <w:pPr>
              <w:pStyle w:val="TableContents"/>
              <w:bidi w:val="0"/>
              <w:spacing w:before="0" w:after="283"/>
              <w:jc w:val="left"/>
              <w:rPr>
                <w:b/>
                <w:sz w:val="16"/>
              </w:rPr>
            </w:pPr>
            <w:r>
              <w:rPr>
                <w:b/>
                <w:sz w:val="16"/>
              </w:rPr>
              <w:t>Unaudited</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left"/>
              <w:rPr>
                <w:b/>
                <w:sz w:val="16"/>
              </w:rPr>
            </w:pPr>
            <w:r>
              <w:rPr>
                <w:b/>
                <w:sz w:val="16"/>
              </w:rPr>
              <w:t>Shares</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w:t>
            </w:r>
          </w:p>
        </w:tc>
        <w:tc>
          <w:tcPr>
            <w:tcW w:w="98" w:type="dxa"/>
            <w:tcBorders/>
            <w:vAlign w:val="center"/>
          </w:tcPr>
          <w:p>
            <w:pPr>
              <w:pStyle w:val="TableContents"/>
              <w:bidi w:val="0"/>
              <w:spacing w:before="0" w:after="283"/>
              <w:ind w:left="0" w:right="0" w:hanging="180"/>
              <w:jc w:val="left"/>
              <w:rPr/>
            </w:pPr>
            <w:r>
              <w:rPr/>
              <w:t> </w:t>
            </w:r>
          </w:p>
        </w:tc>
      </w:tr>
      <w:tr>
        <w:trPr/>
        <w:tc>
          <w:tcPr>
            <w:tcW w:w="1625" w:type="dxa"/>
            <w:tcBorders/>
            <w:shd w:fill="CCEEFF" w:val="clear"/>
            <w:vAlign w:val="center"/>
          </w:tcPr>
          <w:p>
            <w:pPr>
              <w:pStyle w:val="TableContents"/>
              <w:bidi w:val="0"/>
              <w:spacing w:before="0" w:after="283"/>
              <w:jc w:val="left"/>
              <w:rPr>
                <w:b/>
                <w:sz w:val="16"/>
              </w:rPr>
            </w:pPr>
            <w:r>
              <w:rPr>
                <w:b/>
                <w:sz w:val="16"/>
              </w:rPr>
              <w:t>Balance at January 1, 2024</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b/>
                <w:sz w:val="16"/>
              </w:rPr>
            </w:pPr>
            <w:r>
              <w:rPr>
                <w:b/>
                <w:sz w:val="16"/>
              </w:rPr>
              <w:t>$</w:t>
            </w:r>
          </w:p>
        </w:tc>
        <w:tc>
          <w:tcPr>
            <w:tcW w:w="477" w:type="dxa"/>
            <w:tcBorders/>
            <w:shd w:fill="CCEEFF" w:val="clear"/>
            <w:vAlign w:val="center"/>
          </w:tcPr>
          <w:p>
            <w:pPr>
              <w:pStyle w:val="TableContents"/>
              <w:bidi w:val="0"/>
              <w:spacing w:before="0" w:after="283"/>
              <w:jc w:val="right"/>
              <w:rPr>
                <w:b/>
                <w:sz w:val="16"/>
              </w:rPr>
            </w:pPr>
            <w:r>
              <w:rPr>
                <w:b/>
                <w:sz w:val="16"/>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right"/>
              <w:rPr>
                <w:sz w:val="16"/>
              </w:rPr>
            </w:pPr>
            <w:r>
              <w:rPr>
                <w:sz w:val="16"/>
              </w:rPr>
              <w:t>-</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b/>
                <w:sz w:val="16"/>
              </w:rPr>
            </w:pPr>
            <w:r>
              <w:rPr>
                <w:b/>
                <w:sz w:val="16"/>
              </w:rPr>
              <w:t>$</w:t>
            </w:r>
          </w:p>
        </w:tc>
        <w:tc>
          <w:tcPr>
            <w:tcW w:w="259" w:type="dxa"/>
            <w:tcBorders/>
            <w:shd w:fill="CCEEFF" w:val="clear"/>
            <w:vAlign w:val="center"/>
          </w:tcPr>
          <w:p>
            <w:pPr>
              <w:pStyle w:val="TableContents"/>
              <w:bidi w:val="0"/>
              <w:spacing w:before="0" w:after="283"/>
              <w:jc w:val="righ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b/>
                <w:sz w:val="16"/>
              </w:rPr>
            </w:pPr>
            <w:r>
              <w:rPr>
                <w:b/>
                <w:sz w:val="16"/>
              </w:rPr>
              <w:t>$</w:t>
            </w:r>
          </w:p>
        </w:tc>
        <w:tc>
          <w:tcPr>
            <w:tcW w:w="439" w:type="dxa"/>
            <w:tcBorders/>
            <w:shd w:fill="CCEEFF" w:val="clear"/>
            <w:vAlign w:val="center"/>
          </w:tcPr>
          <w:p>
            <w:pPr>
              <w:pStyle w:val="TableContents"/>
              <w:bidi w:val="0"/>
              <w:spacing w:before="0" w:after="283"/>
              <w:jc w:val="righ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b/>
                <w:sz w:val="16"/>
              </w:rPr>
            </w:pPr>
            <w:r>
              <w:rPr>
                <w:b/>
                <w:sz w:val="16"/>
              </w:rPr>
              <w:t>$</w:t>
            </w:r>
          </w:p>
        </w:tc>
        <w:tc>
          <w:tcPr>
            <w:tcW w:w="598" w:type="dxa"/>
            <w:tcBorders/>
            <w:shd w:fill="CCEEFF" w:val="clear"/>
            <w:vAlign w:val="center"/>
          </w:tcPr>
          <w:p>
            <w:pPr>
              <w:pStyle w:val="TableContents"/>
              <w:bidi w:val="0"/>
              <w:spacing w:before="0" w:after="283"/>
              <w:jc w:val="right"/>
              <w:rPr>
                <w:b/>
                <w:sz w:val="16"/>
              </w:rPr>
            </w:pPr>
            <w:r>
              <w:rPr>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b/>
                <w:sz w:val="16"/>
              </w:rPr>
            </w:pPr>
            <w:r>
              <w:rPr>
                <w:b/>
                <w:sz w:val="16"/>
              </w:rPr>
              <w:t>$</w:t>
            </w:r>
          </w:p>
        </w:tc>
        <w:tc>
          <w:tcPr>
            <w:tcW w:w="787" w:type="dxa"/>
            <w:tcBorders/>
            <w:shd w:fill="CCEEFF" w:val="clear"/>
            <w:vAlign w:val="center"/>
          </w:tcPr>
          <w:p>
            <w:pPr>
              <w:pStyle w:val="TableContents"/>
              <w:bidi w:val="0"/>
              <w:spacing w:before="0" w:after="283"/>
              <w:jc w:val="right"/>
              <w:rPr>
                <w:b/>
                <w:sz w:val="16"/>
              </w:rPr>
            </w:pPr>
            <w:r>
              <w:rPr>
                <w:b/>
                <w:sz w:val="16"/>
              </w:rPr>
              <w:t>(3</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left"/>
              <w:rPr>
                <w:b/>
                <w:sz w:val="16"/>
              </w:rPr>
            </w:pPr>
            <w:r>
              <w:rPr>
                <w:b/>
                <w:sz w:val="16"/>
              </w:rPr>
              <w:t>$</w:t>
            </w:r>
          </w:p>
        </w:tc>
        <w:tc>
          <w:tcPr>
            <w:tcW w:w="594" w:type="dxa"/>
            <w:tcBorders/>
            <w:shd w:fill="CCEEFF" w:val="clear"/>
            <w:vAlign w:val="center"/>
          </w:tcPr>
          <w:p>
            <w:pPr>
              <w:pStyle w:val="TableContents"/>
              <w:bidi w:val="0"/>
              <w:spacing w:before="0" w:after="283"/>
              <w:jc w:val="righ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b/>
                <w:sz w:val="16"/>
              </w:rPr>
            </w:pPr>
            <w:r>
              <w:rPr>
                <w:b/>
                <w:sz w:val="16"/>
              </w:rPr>
              <w:t>$</w:t>
            </w:r>
          </w:p>
        </w:tc>
        <w:tc>
          <w:tcPr>
            <w:tcW w:w="774" w:type="dxa"/>
            <w:tcBorders/>
            <w:shd w:fill="CCEEFF" w:val="clear"/>
            <w:vAlign w:val="center"/>
          </w:tcPr>
          <w:p>
            <w:pPr>
              <w:pStyle w:val="TableContents"/>
              <w:bidi w:val="0"/>
              <w:spacing w:before="0" w:after="283"/>
              <w:jc w:val="right"/>
              <w:rPr>
                <w:b/>
                <w:sz w:val="16"/>
              </w:rPr>
            </w:pPr>
            <w:r>
              <w:rPr>
                <w:b/>
                <w:sz w:val="16"/>
              </w:rPr>
              <w:t>-</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1625" w:type="dxa"/>
            <w:tcBorders/>
            <w:shd w:fill="FFFFFF" w:val="clear"/>
            <w:vAlign w:val="center"/>
          </w:tcPr>
          <w:p>
            <w:pPr>
              <w:pStyle w:val="TableContents"/>
              <w:bidi w:val="0"/>
              <w:spacing w:before="0" w:after="283"/>
              <w:jc w:val="left"/>
              <w:rPr>
                <w:sz w:val="16"/>
              </w:rPr>
            </w:pPr>
            <w:r>
              <w:rPr>
                <w:sz w:val="16"/>
              </w:rPr>
              <w:t>Retrospective application of the Business Combination</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77"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86"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5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47,500,000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(548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4" w:type="dxa"/>
            <w:tcBorders>
              <w:bottom w:val="single" w:sz="12" w:space="0" w:color="000000"/>
            </w:tcBorders>
            <w:shd w:fill="FFFFFF" w:val="clear"/>
            <w:tcMar>
              <w:bottom w:w="28" w:type="dxa"/>
            </w:tcMar>
            <w:vAlign w:val="center"/>
          </w:tcPr>
          <w:p>
            <w:pPr>
              <w:pStyle w:val="TableContents"/>
              <w:bidi w:val="0"/>
              <w:spacing w:before="0" w:after="283"/>
              <w:jc w:val="right"/>
              <w:rPr>
                <w:b/>
                <w:sz w:val="16"/>
              </w:rPr>
            </w:pPr>
            <w:r>
              <w:rPr>
                <w:b/>
                <w:sz w:val="16"/>
              </w:rPr>
              <w:t>-</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1625" w:type="dxa"/>
            <w:tcBorders/>
            <w:shd w:fill="CCEEFF" w:val="clear"/>
            <w:vAlign w:val="center"/>
          </w:tcPr>
          <w:p>
            <w:pPr>
              <w:pStyle w:val="TableContents"/>
              <w:bidi w:val="0"/>
              <w:spacing w:before="0" w:after="283"/>
              <w:jc w:val="left"/>
              <w:rPr>
                <w:b/>
                <w:sz w:val="16"/>
              </w:rPr>
            </w:pPr>
            <w:r>
              <w:rPr>
                <w:b/>
                <w:sz w:val="16"/>
              </w:rPr>
              <w:t>Adjusted balances at beginning of period</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b/>
                <w:sz w:val="16"/>
              </w:rPr>
            </w:pPr>
            <w:r>
              <w:rPr>
                <w:b/>
                <w:sz w:val="16"/>
              </w:rPr>
              <w:t>$</w:t>
            </w:r>
          </w:p>
        </w:tc>
        <w:tc>
          <w:tcPr>
            <w:tcW w:w="477" w:type="dxa"/>
            <w:tcBorders/>
            <w:shd w:fill="CCEEFF" w:val="clear"/>
            <w:vAlign w:val="center"/>
          </w:tcPr>
          <w:p>
            <w:pPr>
              <w:pStyle w:val="TableContents"/>
              <w:bidi w:val="0"/>
              <w:spacing w:before="0" w:after="283"/>
              <w:jc w:val="right"/>
              <w:rPr>
                <w:b/>
                <w:sz w:val="16"/>
              </w:rPr>
            </w:pPr>
            <w:r>
              <w:rPr>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right"/>
              <w:rPr>
                <w:b/>
                <w:sz w:val="16"/>
              </w:rPr>
            </w:pPr>
            <w:r>
              <w:rPr>
                <w:b/>
                <w:sz w:val="16"/>
              </w:rPr>
              <w:t>-</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b/>
                <w:sz w:val="16"/>
              </w:rPr>
            </w:pPr>
            <w:r>
              <w:rPr>
                <w:b/>
                <w:sz w:val="16"/>
              </w:rPr>
              <w:t>$</w:t>
            </w:r>
          </w:p>
        </w:tc>
        <w:tc>
          <w:tcPr>
            <w:tcW w:w="259" w:type="dxa"/>
            <w:tcBorders/>
            <w:shd w:fill="CCEEFF" w:val="clear"/>
            <w:vAlign w:val="center"/>
          </w:tcPr>
          <w:p>
            <w:pPr>
              <w:pStyle w:val="TableContents"/>
              <w:bidi w:val="0"/>
              <w:spacing w:before="0" w:after="283"/>
              <w:jc w:val="righ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6"/>
              </w:rPr>
            </w:pPr>
            <w:r>
              <w:rPr>
                <w:b/>
                <w:sz w:val="16"/>
              </w:rPr>
              <w:t>47,500,000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b/>
                <w:sz w:val="16"/>
              </w:rPr>
            </w:pPr>
            <w:r>
              <w:rPr>
                <w:b/>
                <w:sz w:val="16"/>
              </w:rPr>
              <w:t>$</w:t>
            </w:r>
          </w:p>
        </w:tc>
        <w:tc>
          <w:tcPr>
            <w:tcW w:w="439" w:type="dxa"/>
            <w:tcBorders/>
            <w:shd w:fill="CCEEFF" w:val="clear"/>
            <w:vAlign w:val="center"/>
          </w:tcPr>
          <w:p>
            <w:pPr>
              <w:pStyle w:val="TableContents"/>
              <w:bidi w:val="0"/>
              <w:spacing w:before="0" w:after="283"/>
              <w:jc w:val="right"/>
              <w:rPr>
                <w:b/>
                <w:sz w:val="16"/>
              </w:rPr>
            </w:pPr>
            <w:r>
              <w:rPr>
                <w:b/>
                <w:sz w:val="16"/>
              </w:rPr>
              <w:t>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b/>
                <w:sz w:val="16"/>
              </w:rPr>
            </w:pPr>
            <w:r>
              <w:rPr>
                <w:b/>
                <w:sz w:val="16"/>
              </w:rPr>
              <w:t>$</w:t>
            </w:r>
          </w:p>
        </w:tc>
        <w:tc>
          <w:tcPr>
            <w:tcW w:w="598" w:type="dxa"/>
            <w:tcBorders/>
            <w:shd w:fill="CCEEFF" w:val="clear"/>
            <w:vAlign w:val="center"/>
          </w:tcPr>
          <w:p>
            <w:pPr>
              <w:pStyle w:val="TableContents"/>
              <w:bidi w:val="0"/>
              <w:spacing w:before="0" w:after="283"/>
              <w:jc w:val="right"/>
              <w:rPr>
                <w:b/>
                <w:sz w:val="16"/>
              </w:rPr>
            </w:pPr>
            <w:r>
              <w:rPr>
                <w:b/>
                <w:sz w:val="16"/>
              </w:rPr>
              <w:t>(548</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b/>
                <w:sz w:val="16"/>
              </w:rPr>
            </w:pPr>
            <w:r>
              <w:rPr>
                <w:b/>
                <w:sz w:val="16"/>
              </w:rPr>
              <w:t>$</w:t>
            </w:r>
          </w:p>
        </w:tc>
        <w:tc>
          <w:tcPr>
            <w:tcW w:w="787" w:type="dxa"/>
            <w:tcBorders/>
            <w:shd w:fill="CCEEFF" w:val="clear"/>
            <w:vAlign w:val="center"/>
          </w:tcPr>
          <w:p>
            <w:pPr>
              <w:pStyle w:val="TableContents"/>
              <w:bidi w:val="0"/>
              <w:spacing w:before="0" w:after="283"/>
              <w:jc w:val="right"/>
              <w:rPr>
                <w:b/>
                <w:sz w:val="16"/>
              </w:rPr>
            </w:pPr>
            <w:r>
              <w:rPr>
                <w:b/>
                <w:sz w:val="16"/>
              </w:rPr>
              <w:t>(3</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left"/>
              <w:rPr>
                <w:b/>
                <w:sz w:val="16"/>
              </w:rPr>
            </w:pPr>
            <w:r>
              <w:rPr>
                <w:b/>
                <w:sz w:val="16"/>
              </w:rPr>
              <w:t>$</w:t>
            </w:r>
          </w:p>
        </w:tc>
        <w:tc>
          <w:tcPr>
            <w:tcW w:w="594" w:type="dxa"/>
            <w:tcBorders/>
            <w:shd w:fill="CCEEFF" w:val="clear"/>
            <w:vAlign w:val="center"/>
          </w:tcPr>
          <w:p>
            <w:pPr>
              <w:pStyle w:val="TableContents"/>
              <w:bidi w:val="0"/>
              <w:spacing w:before="0" w:after="283"/>
              <w:jc w:val="righ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b/>
                <w:sz w:val="16"/>
              </w:rPr>
            </w:pPr>
            <w:r>
              <w:rPr>
                <w:b/>
                <w:sz w:val="16"/>
              </w:rPr>
              <w:t>$</w:t>
            </w:r>
          </w:p>
        </w:tc>
        <w:tc>
          <w:tcPr>
            <w:tcW w:w="774" w:type="dxa"/>
            <w:tcBorders/>
            <w:shd w:fill="CCEEFF" w:val="clear"/>
            <w:vAlign w:val="center"/>
          </w:tcPr>
          <w:p>
            <w:pPr>
              <w:pStyle w:val="TableContents"/>
              <w:bidi w:val="0"/>
              <w:spacing w:before="0" w:after="283"/>
              <w:jc w:val="right"/>
              <w:rPr>
                <w:b/>
                <w:sz w:val="16"/>
              </w:rPr>
            </w:pPr>
            <w:r>
              <w:rPr>
                <w:b/>
                <w:sz w:val="16"/>
              </w:rPr>
              <w:t>-</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1625"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sz w:val="16"/>
              </w:rPr>
            </w:pPr>
            <w:r>
              <w:rPr>
                <w:sz w:val="16"/>
              </w:rPr>
              <w:t>-</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sz w:val="16"/>
              </w:rPr>
            </w:pPr>
            <w:r>
              <w:rPr>
                <w:sz w:val="16"/>
              </w:rPr>
              <w:t>(34</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b/>
                <w:sz w:val="16"/>
              </w:rPr>
            </w:pPr>
            <w:r>
              <w:rPr>
                <w:b/>
                <w:sz w:val="16"/>
              </w:rPr>
              <w:t>(34</w:t>
            </w:r>
          </w:p>
        </w:tc>
        <w:tc>
          <w:tcPr>
            <w:tcW w:w="98" w:type="dxa"/>
            <w:tcBorders/>
            <w:shd w:fill="FFFFFF" w:val="clear"/>
            <w:vAlign w:val="center"/>
          </w:tcPr>
          <w:p>
            <w:pPr>
              <w:pStyle w:val="TableContents"/>
              <w:bidi w:val="0"/>
              <w:spacing w:before="0" w:after="283"/>
              <w:ind w:left="0" w:right="0" w:hanging="180"/>
              <w:jc w:val="left"/>
              <w:rPr>
                <w:b/>
                <w:sz w:val="16"/>
              </w:rPr>
            </w:pPr>
            <w:r>
              <w:rPr>
                <w:b/>
                <w:sz w:val="16"/>
              </w:rPr>
              <w:t>)</w:t>
            </w:r>
          </w:p>
        </w:tc>
      </w:tr>
      <w:tr>
        <w:trPr/>
        <w:tc>
          <w:tcPr>
            <w:tcW w:w="1625" w:type="dxa"/>
            <w:tcBorders/>
            <w:shd w:fill="CCEEFF" w:val="clear"/>
            <w:vAlign w:val="center"/>
          </w:tcPr>
          <w:p>
            <w:pPr>
              <w:pStyle w:val="TableContents"/>
              <w:bidi w:val="0"/>
              <w:spacing w:before="0" w:after="283"/>
              <w:jc w:val="left"/>
              <w:rPr>
                <w:sz w:val="16"/>
              </w:rPr>
            </w:pPr>
            <w:r>
              <w:rPr>
                <w:sz w:val="16"/>
              </w:rPr>
              <w:t>Foreign currency translation</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7"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86"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4" w:type="dxa"/>
            <w:tcBorders>
              <w:bottom w:val="single" w:sz="12" w:space="0" w:color="000000"/>
            </w:tcBorders>
            <w:shd w:fill="CCEEFF" w:val="clear"/>
            <w:tcMar>
              <w:bottom w:w="28" w:type="dxa"/>
            </w:tcMar>
            <w:vAlign w:val="center"/>
          </w:tcPr>
          <w:p>
            <w:pPr>
              <w:pStyle w:val="TableContents"/>
              <w:bidi w:val="0"/>
              <w:spacing w:before="0" w:after="283"/>
              <w:jc w:val="right"/>
              <w:rPr>
                <w:b/>
                <w:sz w:val="16"/>
              </w:rPr>
            </w:pPr>
            <w:r>
              <w:rPr>
                <w:b/>
                <w:sz w:val="16"/>
              </w:rPr>
              <w:t>2</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1625" w:type="dxa"/>
            <w:tcBorders/>
            <w:shd w:fill="FFFFFF" w:val="clear"/>
            <w:vAlign w:val="center"/>
          </w:tcPr>
          <w:p>
            <w:pPr>
              <w:pStyle w:val="TableContents"/>
              <w:bidi w:val="0"/>
              <w:spacing w:before="0" w:after="283"/>
              <w:jc w:val="left"/>
              <w:rPr>
                <w:b/>
                <w:sz w:val="16"/>
              </w:rPr>
            </w:pPr>
            <w:r>
              <w:rPr>
                <w:b/>
                <w:sz w:val="16"/>
              </w:rPr>
              <w:t>Balance at December 31, 2024</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b/>
                <w:sz w:val="16"/>
              </w:rPr>
            </w:pPr>
            <w:r>
              <w:rPr>
                <w:b/>
                <w:sz w:val="16"/>
              </w:rPr>
              <w:t>$</w:t>
            </w:r>
          </w:p>
        </w:tc>
        <w:tc>
          <w:tcPr>
            <w:tcW w:w="477" w:type="dxa"/>
            <w:tcBorders/>
            <w:shd w:fill="FFFFFF" w:val="clear"/>
            <w:vAlign w:val="center"/>
          </w:tcPr>
          <w:p>
            <w:pPr>
              <w:pStyle w:val="TableContents"/>
              <w:bidi w:val="0"/>
              <w:spacing w:before="0" w:after="283"/>
              <w:jc w:val="right"/>
              <w:rPr>
                <w:b/>
                <w:sz w:val="16"/>
              </w:rPr>
            </w:pPr>
            <w:r>
              <w:rPr>
                <w:b/>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b/>
                <w:sz w:val="16"/>
              </w:rPr>
            </w:pPr>
            <w:r>
              <w:rPr>
                <w:b/>
                <w:sz w:val="16"/>
              </w:rPr>
              <w:t>-</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b/>
                <w:sz w:val="16"/>
              </w:rPr>
            </w:pPr>
            <w:r>
              <w:rPr>
                <w:b/>
                <w:sz w:val="16"/>
              </w:rPr>
              <w:t>$</w:t>
            </w:r>
          </w:p>
        </w:tc>
        <w:tc>
          <w:tcPr>
            <w:tcW w:w="259" w:type="dxa"/>
            <w:tcBorders/>
            <w:shd w:fill="FFFFFF" w:val="clear"/>
            <w:vAlign w:val="center"/>
          </w:tcPr>
          <w:p>
            <w:pPr>
              <w:pStyle w:val="TableContents"/>
              <w:bidi w:val="0"/>
              <w:spacing w:before="0" w:after="283"/>
              <w:jc w:val="righ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b/>
                <w:sz w:val="16"/>
              </w:rPr>
            </w:pPr>
            <w:r>
              <w:rPr>
                <w:b/>
                <w:sz w:val="16"/>
              </w:rPr>
              <w:t>47,500,000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b/>
                <w:sz w:val="16"/>
              </w:rPr>
            </w:pPr>
            <w:r>
              <w:rPr>
                <w:b/>
                <w:sz w:val="16"/>
              </w:rPr>
              <w:t>$</w:t>
            </w:r>
          </w:p>
        </w:tc>
        <w:tc>
          <w:tcPr>
            <w:tcW w:w="439" w:type="dxa"/>
            <w:tcBorders/>
            <w:shd w:fill="FFFFFF" w:val="clear"/>
            <w:vAlign w:val="center"/>
          </w:tcPr>
          <w:p>
            <w:pPr>
              <w:pStyle w:val="TableContents"/>
              <w:bidi w:val="0"/>
              <w:spacing w:before="0" w:after="283"/>
              <w:jc w:val="right"/>
              <w:rPr>
                <w:b/>
                <w:sz w:val="16"/>
              </w:rPr>
            </w:pPr>
            <w:r>
              <w:rPr>
                <w:b/>
                <w:sz w:val="16"/>
              </w:rPr>
              <w:t>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b/>
                <w:sz w:val="16"/>
              </w:rPr>
            </w:pPr>
            <w:r>
              <w:rPr>
                <w:b/>
                <w:sz w:val="16"/>
              </w:rPr>
              <w:t>$</w:t>
            </w:r>
          </w:p>
        </w:tc>
        <w:tc>
          <w:tcPr>
            <w:tcW w:w="598" w:type="dxa"/>
            <w:tcBorders/>
            <w:shd w:fill="FFFFFF" w:val="clear"/>
            <w:vAlign w:val="center"/>
          </w:tcPr>
          <w:p>
            <w:pPr>
              <w:pStyle w:val="TableContents"/>
              <w:bidi w:val="0"/>
              <w:spacing w:before="0" w:after="283"/>
              <w:jc w:val="right"/>
              <w:rPr>
                <w:b/>
                <w:sz w:val="16"/>
              </w:rPr>
            </w:pPr>
            <w:r>
              <w:rPr>
                <w:b/>
                <w:sz w:val="16"/>
              </w:rPr>
              <w:t>(548</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b/>
                <w:sz w:val="16"/>
              </w:rPr>
            </w:pPr>
            <w:r>
              <w:rPr>
                <w:b/>
                <w:sz w:val="16"/>
              </w:rPr>
              <w:t>$</w:t>
            </w:r>
          </w:p>
        </w:tc>
        <w:tc>
          <w:tcPr>
            <w:tcW w:w="787" w:type="dxa"/>
            <w:tcBorders/>
            <w:shd w:fill="FFFFFF" w:val="clear"/>
            <w:vAlign w:val="center"/>
          </w:tcPr>
          <w:p>
            <w:pPr>
              <w:pStyle w:val="TableContents"/>
              <w:bidi w:val="0"/>
              <w:spacing w:before="0" w:after="283"/>
              <w:jc w:val="right"/>
              <w:rPr>
                <w:b/>
                <w:sz w:val="16"/>
              </w:rPr>
            </w:pPr>
            <w:r>
              <w:rPr>
                <w:b/>
                <w:sz w:val="16"/>
              </w:rPr>
              <w:t>(37</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b/>
                <w:sz w:val="16"/>
              </w:rPr>
            </w:pPr>
            <w:r>
              <w:rPr>
                <w:b/>
                <w:sz w:val="16"/>
              </w:rPr>
              <w:t>$</w:t>
            </w:r>
          </w:p>
        </w:tc>
        <w:tc>
          <w:tcPr>
            <w:tcW w:w="594" w:type="dxa"/>
            <w:tcBorders/>
            <w:shd w:fill="FFFFFF" w:val="clear"/>
            <w:vAlign w:val="center"/>
          </w:tcPr>
          <w:p>
            <w:pPr>
              <w:pStyle w:val="TableContents"/>
              <w:bidi w:val="0"/>
              <w:spacing w:before="0" w:after="283"/>
              <w:jc w:val="right"/>
              <w:rPr>
                <w:b/>
                <w:sz w:val="16"/>
              </w:rPr>
            </w:pPr>
            <w:r>
              <w:rPr>
                <w:b/>
                <w:sz w:val="16"/>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b/>
                <w:sz w:val="16"/>
              </w:rPr>
            </w:pPr>
            <w:r>
              <w:rPr>
                <w:b/>
                <w:sz w:val="16"/>
              </w:rPr>
              <w:t>$</w:t>
            </w:r>
          </w:p>
        </w:tc>
        <w:tc>
          <w:tcPr>
            <w:tcW w:w="774" w:type="dxa"/>
            <w:tcBorders/>
            <w:shd w:fill="FFFFFF" w:val="clear"/>
            <w:vAlign w:val="center"/>
          </w:tcPr>
          <w:p>
            <w:pPr>
              <w:pStyle w:val="TableContents"/>
              <w:bidi w:val="0"/>
              <w:spacing w:before="0" w:after="283"/>
              <w:jc w:val="right"/>
              <w:rPr>
                <w:b/>
                <w:sz w:val="16"/>
              </w:rPr>
            </w:pPr>
            <w:r>
              <w:rPr>
                <w:b/>
                <w:sz w:val="16"/>
              </w:rPr>
              <w:t>(32</w:t>
            </w:r>
          </w:p>
        </w:tc>
        <w:tc>
          <w:tcPr>
            <w:tcW w:w="98" w:type="dxa"/>
            <w:tcBorders/>
            <w:shd w:fill="FFFFFF" w:val="clear"/>
            <w:vAlign w:val="center"/>
          </w:tcPr>
          <w:p>
            <w:pPr>
              <w:pStyle w:val="TableContents"/>
              <w:bidi w:val="0"/>
              <w:spacing w:before="0" w:after="283"/>
              <w:ind w:left="0" w:right="0" w:hanging="180"/>
              <w:jc w:val="left"/>
              <w:rPr>
                <w:b/>
                <w:sz w:val="16"/>
              </w:rPr>
            </w:pPr>
            <w:r>
              <w:rPr>
                <w:b/>
                <w:sz w:val="16"/>
              </w:rPr>
              <w:t>)</w:t>
            </w:r>
          </w:p>
        </w:tc>
      </w:tr>
      <w:tr>
        <w:trPr/>
        <w:tc>
          <w:tcPr>
            <w:tcW w:w="1625" w:type="dxa"/>
            <w:tcBorders/>
            <w:shd w:fill="CCEEFF" w:val="clear"/>
            <w:vAlign w:val="center"/>
          </w:tcPr>
          <w:p>
            <w:pPr>
              <w:pStyle w:val="TableContents"/>
              <w:bidi w:val="0"/>
              <w:spacing w:before="0" w:after="283"/>
              <w:jc w:val="left"/>
              <w:rPr>
                <w:sz w:val="16"/>
              </w:rPr>
            </w:pPr>
            <w:r>
              <w:rPr>
                <w:sz w:val="16"/>
              </w:rPr>
              <w:t>Net loss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right"/>
              <w:rPr>
                <w:sz w:val="16"/>
              </w:rPr>
            </w:pPr>
            <w:r>
              <w:rPr>
                <w:sz w:val="16"/>
              </w:rPr>
              <w:t>-</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6"/>
              </w:rPr>
            </w:pPr>
            <w:r>
              <w:rPr>
                <w:sz w:val="16"/>
              </w:rPr>
              <w:t>(1,448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b/>
                <w:sz w:val="16"/>
              </w:rPr>
            </w:pPr>
            <w:r>
              <w:rPr>
                <w:b/>
                <w:sz w:val="16"/>
              </w:rPr>
              <w:t>(1,448</w:t>
            </w:r>
          </w:p>
        </w:tc>
        <w:tc>
          <w:tcPr>
            <w:tcW w:w="98" w:type="dxa"/>
            <w:tcBorders/>
            <w:shd w:fill="CCEEFF" w:val="clear"/>
            <w:vAlign w:val="center"/>
          </w:tcPr>
          <w:p>
            <w:pPr>
              <w:pStyle w:val="TableContents"/>
              <w:bidi w:val="0"/>
              <w:spacing w:before="0" w:after="283"/>
              <w:ind w:left="0" w:right="0" w:hanging="180"/>
              <w:jc w:val="left"/>
              <w:rPr>
                <w:b/>
                <w:sz w:val="16"/>
              </w:rPr>
            </w:pPr>
            <w:r>
              <w:rPr>
                <w:b/>
                <w:sz w:val="16"/>
              </w:rPr>
              <w:t>)</w:t>
            </w:r>
          </w:p>
        </w:tc>
      </w:tr>
      <w:tr>
        <w:trPr/>
        <w:tc>
          <w:tcPr>
            <w:tcW w:w="1625" w:type="dxa"/>
            <w:tcBorders/>
            <w:shd w:fill="FFFFFF" w:val="clear"/>
            <w:vAlign w:val="center"/>
          </w:tcPr>
          <w:p>
            <w:pPr>
              <w:pStyle w:val="TableContents"/>
              <w:bidi w:val="0"/>
              <w:spacing w:before="0" w:after="283"/>
              <w:jc w:val="left"/>
              <w:rPr>
                <w:sz w:val="16"/>
              </w:rPr>
            </w:pPr>
            <w:r>
              <w:rPr>
                <w:sz w:val="16"/>
              </w:rPr>
              <w:t>Foreign currency translation</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77"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86"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5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4" w:type="dxa"/>
            <w:tcBorders>
              <w:bottom w:val="single" w:sz="12" w:space="0" w:color="000000"/>
            </w:tcBorders>
            <w:shd w:fill="FFFFFF" w:val="clear"/>
            <w:tcMar>
              <w:bottom w:w="28" w:type="dxa"/>
            </w:tcMar>
            <w:vAlign w:val="center"/>
          </w:tcPr>
          <w:p>
            <w:pPr>
              <w:pStyle w:val="TableContents"/>
              <w:bidi w:val="0"/>
              <w:spacing w:before="0" w:after="283"/>
              <w:jc w:val="right"/>
              <w:rPr>
                <w:b/>
                <w:sz w:val="16"/>
              </w:rPr>
            </w:pPr>
            <w:r>
              <w:rPr>
                <w:b/>
                <w:sz w:val="16"/>
              </w:rPr>
              <w:t>6</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1625" w:type="dxa"/>
            <w:tcBorders/>
            <w:shd w:fill="CCEEFF" w:val="clear"/>
            <w:vAlign w:val="center"/>
          </w:tcPr>
          <w:p>
            <w:pPr>
              <w:pStyle w:val="TableContents"/>
              <w:bidi w:val="0"/>
              <w:spacing w:before="0" w:after="283"/>
              <w:jc w:val="left"/>
              <w:rPr>
                <w:b/>
                <w:sz w:val="16"/>
              </w:rPr>
            </w:pPr>
            <w:r>
              <w:rPr>
                <w:b/>
                <w:sz w:val="16"/>
              </w:rPr>
              <w:t>Balance at March 31, 2025</w:t>
            </w:r>
          </w:p>
        </w:tc>
        <w:tc>
          <w:tcPr>
            <w:tcW w:w="60" w:type="dxa"/>
            <w:tcBorders/>
            <w:shd w:fill="CCEEFF" w:val="clear"/>
            <w:vAlign w:val="center"/>
          </w:tcPr>
          <w:p>
            <w:pPr>
              <w:pStyle w:val="TableContents"/>
              <w:bidi w:val="0"/>
              <w:spacing w:before="0" w:after="283"/>
              <w:jc w:val="left"/>
              <w:rPr/>
            </w:pPr>
            <w:r>
              <w:rPr/>
              <w:t> </w:t>
            </w:r>
          </w:p>
        </w:tc>
        <w:tc>
          <w:tcPr>
            <w:tcW w:w="308"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477"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86"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46"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259"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47,500,000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439"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598"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(548</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787"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(1,485</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591"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594"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b/>
                <w:sz w:val="16"/>
              </w:rPr>
            </w:pPr>
            <w:r>
              <w:rPr>
                <w:b/>
                <w:sz w:val="16"/>
              </w:rPr>
              <w:t>$</w:t>
            </w:r>
          </w:p>
        </w:tc>
        <w:tc>
          <w:tcPr>
            <w:tcW w:w="774"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(1,474</w:t>
            </w:r>
          </w:p>
        </w:tc>
        <w:tc>
          <w:tcPr>
            <w:tcW w:w="98" w:type="dxa"/>
            <w:tcBorders/>
            <w:shd w:fill="CCEEFF" w:val="clear"/>
            <w:vAlign w:val="center"/>
          </w:tcPr>
          <w:p>
            <w:pPr>
              <w:pStyle w:val="TableContents"/>
              <w:bidi w:val="0"/>
              <w:spacing w:before="0" w:after="283"/>
              <w:jc w:val="left"/>
              <w:rPr>
                <w:b/>
                <w:sz w:val="16"/>
              </w:rPr>
            </w:pPr>
            <w:r>
              <w:rPr>
                <w:b/>
                <w:sz w:val="16"/>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caps w:val="false"/>
          <w:smallCaps w:val="false"/>
          <w:sz w:val="20"/>
        </w:rPr>
        <w:t>The accompanying notes are an integral part of these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br/>
        <w:t>(formerly Terra Innovatum Global Srl.)</w:t>
        <w:br/>
        <w:t>Interim Condensed Consolidated Statements of Cash Flows</w:t>
        <w:br/>
      </w:r>
      <w:r>
        <w:rPr>
          <w:rFonts w:ascii="Times New Roman;Times;Serif" w:hAnsi="Times New Roman;Times;Serif"/>
          <w:b/>
          <w:i/>
          <w:caps w:val="false"/>
          <w:smallCaps w:val="false"/>
          <w:sz w:val="20"/>
        </w:rPr>
        <w:t>(all amounts in USD)(in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67"/>
        <w:gridCol w:w="60"/>
        <w:gridCol w:w="266"/>
        <w:gridCol w:w="1526"/>
        <w:gridCol w:w="181"/>
        <w:gridCol w:w="114"/>
        <w:gridCol w:w="266"/>
        <w:gridCol w:w="1211"/>
        <w:gridCol w:w="314"/>
      </w:tblGrid>
      <w:tr>
        <w:trPr/>
        <w:tc>
          <w:tcPr>
            <w:tcW w:w="6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314" w:type="dxa"/>
            <w:tcBorders/>
            <w:vAlign w:val="center"/>
          </w:tcPr>
          <w:p>
            <w:pPr>
              <w:pStyle w:val="TableContents"/>
              <w:bidi w:val="0"/>
              <w:spacing w:before="0" w:after="283"/>
              <w:jc w:val="left"/>
              <w:rPr/>
            </w:pPr>
            <w:r>
              <w:rPr/>
              <w:t> </w:t>
            </w:r>
          </w:p>
        </w:tc>
      </w:tr>
      <w:tr>
        <w:trPr/>
        <w:tc>
          <w:tcPr>
            <w:tcW w:w="6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81"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4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14" w:type="dxa"/>
            <w:tcBorders/>
            <w:vAlign w:val="center"/>
          </w:tcPr>
          <w:p>
            <w:pPr>
              <w:pStyle w:val="TableContents"/>
              <w:bidi w:val="0"/>
              <w:spacing w:before="0" w:after="283"/>
              <w:jc w:val="left"/>
              <w:rPr/>
            </w:pPr>
            <w:r>
              <w:rPr/>
              <w:t> </w:t>
            </w:r>
          </w:p>
        </w:tc>
      </w:tr>
      <w:tr>
        <w:trPr/>
        <w:tc>
          <w:tcPr>
            <w:tcW w:w="6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4" w:type="dxa"/>
            <w:gridSpan w:val="6"/>
            <w:tcBorders/>
            <w:vAlign w:val="center"/>
          </w:tcPr>
          <w:p>
            <w:pPr>
              <w:pStyle w:val="TableContents"/>
              <w:bidi w:val="0"/>
              <w:spacing w:before="0" w:after="283"/>
              <w:jc w:val="center"/>
              <w:rPr>
                <w:b/>
              </w:rPr>
            </w:pPr>
            <w:r>
              <w:rPr>
                <w:b/>
              </w:rPr>
              <w:t>Unaudited</w:t>
            </w:r>
          </w:p>
        </w:tc>
        <w:tc>
          <w:tcPr>
            <w:tcW w:w="314" w:type="dxa"/>
            <w:tcBorders/>
            <w:vAlign w:val="center"/>
          </w:tcPr>
          <w:p>
            <w:pPr>
              <w:pStyle w:val="TableContents"/>
              <w:bidi w:val="0"/>
              <w:spacing w:before="0" w:after="283"/>
              <w:jc w:val="left"/>
              <w:rPr/>
            </w:pPr>
            <w:r>
              <w:rPr/>
              <w:t> </w:t>
            </w:r>
          </w:p>
        </w:tc>
      </w:tr>
      <w:tr>
        <w:trPr/>
        <w:tc>
          <w:tcPr>
            <w:tcW w:w="6267"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792"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477" w:type="dxa"/>
            <w:gridSpan w:val="2"/>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ind w:left="0" w:right="0" w:firstLine="200"/>
              <w:jc w:val="left"/>
              <w:rPr/>
            </w:pPr>
            <w:r>
              <w:rPr/>
              <w:t> </w:t>
            </w:r>
          </w:p>
        </w:tc>
      </w:tr>
      <w:tr>
        <w:trPr/>
        <w:tc>
          <w:tcPr>
            <w:tcW w:w="6267"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526" w:type="dxa"/>
            <w:tcBorders/>
            <w:shd w:fill="CCEEFF" w:val="clear"/>
            <w:vAlign w:val="center"/>
          </w:tcPr>
          <w:p>
            <w:pPr>
              <w:pStyle w:val="TableContents"/>
              <w:bidi w:val="0"/>
              <w:spacing w:before="0" w:after="283"/>
              <w:jc w:val="right"/>
              <w:rPr/>
            </w:pPr>
            <w:r>
              <w:rPr/>
              <w:t>(7,106</w:t>
            </w:r>
          </w:p>
        </w:tc>
        <w:tc>
          <w:tcPr>
            <w:tcW w:w="181"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(1,448</w:t>
            </w:r>
          </w:p>
        </w:tc>
        <w:tc>
          <w:tcPr>
            <w:tcW w:w="314" w:type="dxa"/>
            <w:tcBorders/>
            <w:shd w:fill="CCEEFF" w:val="clear"/>
            <w:vAlign w:val="center"/>
          </w:tcPr>
          <w:p>
            <w:pPr>
              <w:pStyle w:val="TableContents"/>
              <w:bidi w:val="0"/>
              <w:spacing w:before="0" w:after="283"/>
              <w:ind w:left="0" w:right="0" w:firstLine="200"/>
              <w:jc w:val="left"/>
              <w:rPr/>
            </w:pPr>
            <w:r>
              <w:rPr/>
              <w:t>)</w:t>
            </w:r>
          </w:p>
        </w:tc>
      </w:tr>
      <w:tr>
        <w:trPr/>
        <w:tc>
          <w:tcPr>
            <w:tcW w:w="6267" w:type="dxa"/>
            <w:tcBorders/>
            <w:shd w:fill="FFFFFF" w:val="clear"/>
            <w:vAlign w:val="center"/>
          </w:tcPr>
          <w:p>
            <w:pPr>
              <w:pStyle w:val="TableContents"/>
              <w:bidi w:val="0"/>
              <w:spacing w:before="0" w:after="283"/>
              <w:jc w:val="left"/>
              <w:rPr/>
            </w:pPr>
            <w:r>
              <w:rPr/>
              <w:t>Adjustments to reconcile net loss to net 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left"/>
              <w:rPr/>
            </w:pPr>
            <w:r>
              <w:rPr/>
              <w:t> </w:t>
            </w:r>
          </w:p>
        </w:tc>
      </w:tr>
      <w:tr>
        <w:trPr/>
        <w:tc>
          <w:tcPr>
            <w:tcW w:w="6267" w:type="dxa"/>
            <w:tcBorders/>
            <w:shd w:fill="CCEEFF" w:val="clear"/>
            <w:vAlign w:val="center"/>
          </w:tcPr>
          <w:p>
            <w:pPr>
              <w:pStyle w:val="TableContents"/>
              <w:bidi w:val="0"/>
              <w:spacing w:before="0" w:after="283"/>
              <w:jc w:val="left"/>
              <w:rPr/>
            </w:pPr>
            <w:r>
              <w:rPr/>
              <w:t>Unrealized foreign exchange (gain) loss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(220</w:t>
            </w:r>
          </w:p>
        </w:tc>
        <w:tc>
          <w:tcPr>
            <w:tcW w:w="181"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46</w:t>
            </w:r>
          </w:p>
        </w:tc>
        <w:tc>
          <w:tcPr>
            <w:tcW w:w="314" w:type="dxa"/>
            <w:tcBorders/>
            <w:shd w:fill="CCEEFF" w:val="clear"/>
            <w:vAlign w:val="center"/>
          </w:tcPr>
          <w:p>
            <w:pPr>
              <w:pStyle w:val="TableContents"/>
              <w:bidi w:val="0"/>
              <w:spacing w:before="0" w:after="283"/>
              <w:jc w:val="left"/>
              <w:rPr/>
            </w:pPr>
            <w:r>
              <w:rPr/>
              <w:t> </w:t>
            </w:r>
          </w:p>
        </w:tc>
      </w:tr>
      <w:tr>
        <w:trPr/>
        <w:tc>
          <w:tcPr>
            <w:tcW w:w="6267" w:type="dxa"/>
            <w:tcBorders/>
            <w:shd w:fill="FFFFFF" w:val="clear"/>
            <w:vAlign w:val="center"/>
          </w:tcPr>
          <w:p>
            <w:pPr>
              <w:pStyle w:val="TableContents"/>
              <w:bidi w:val="0"/>
              <w:spacing w:before="0" w:after="283"/>
              <w:jc w:val="left"/>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right"/>
              <w:rPr/>
            </w:pPr>
            <w:r>
              <w:rPr/>
              <w:t>(83</w:t>
            </w:r>
          </w:p>
        </w:tc>
        <w:tc>
          <w:tcPr>
            <w:tcW w:w="181" w:type="dxa"/>
            <w:tcBorders/>
            <w:shd w:fill="FFFFFF" w:val="clear"/>
            <w:vAlign w:val="center"/>
          </w:tcPr>
          <w:p>
            <w:pPr>
              <w:pStyle w:val="TableContents"/>
              <w:bidi w:val="0"/>
              <w:spacing w:before="0" w:after="283"/>
              <w:jc w:val="left"/>
              <w:rPr/>
            </w:pPr>
            <w:r>
              <w:rPr/>
              <w:t>)</w:t>
            </w:r>
          </w:p>
        </w:tc>
        <w:tc>
          <w:tcPr>
            <w:tcW w:w="11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w:t>
            </w:r>
          </w:p>
        </w:tc>
        <w:tc>
          <w:tcPr>
            <w:tcW w:w="314" w:type="dxa"/>
            <w:tcBorders/>
            <w:shd w:fill="FFFFFF" w:val="clear"/>
            <w:vAlign w:val="center"/>
          </w:tcPr>
          <w:p>
            <w:pPr>
              <w:pStyle w:val="TableContents"/>
              <w:bidi w:val="0"/>
              <w:spacing w:before="0" w:after="283"/>
              <w:jc w:val="left"/>
              <w:rPr/>
            </w:pPr>
            <w:r>
              <w:rPr/>
              <w:t> </w:t>
            </w:r>
          </w:p>
        </w:tc>
      </w:tr>
      <w:tr>
        <w:trPr/>
        <w:tc>
          <w:tcPr>
            <w:tcW w:w="6267" w:type="dxa"/>
            <w:tcBorders/>
            <w:shd w:fill="CCEEFF" w:val="clear"/>
            <w:vAlign w:val="center"/>
          </w:tcPr>
          <w:p>
            <w:pPr>
              <w:pStyle w:val="TableContents"/>
              <w:bidi w:val="0"/>
              <w:spacing w:before="0" w:after="283"/>
              <w:jc w:val="left"/>
              <w:rPr/>
            </w:pPr>
            <w:r>
              <w:rPr/>
              <w:t>Change in fair value of share-settled contingent liability</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3,335</w:t>
            </w:r>
          </w:p>
        </w:tc>
        <w:tc>
          <w:tcPr>
            <w:tcW w:w="18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w:t>
            </w:r>
          </w:p>
        </w:tc>
        <w:tc>
          <w:tcPr>
            <w:tcW w:w="314" w:type="dxa"/>
            <w:tcBorders/>
            <w:shd w:fill="CCEEFF" w:val="clear"/>
            <w:vAlign w:val="center"/>
          </w:tcPr>
          <w:p>
            <w:pPr>
              <w:pStyle w:val="TableContents"/>
              <w:bidi w:val="0"/>
              <w:spacing w:before="0" w:after="283"/>
              <w:jc w:val="left"/>
              <w:rPr/>
            </w:pPr>
            <w:r>
              <w:rPr/>
              <w:t> </w:t>
            </w:r>
          </w:p>
        </w:tc>
      </w:tr>
      <w:tr>
        <w:trPr/>
        <w:tc>
          <w:tcPr>
            <w:tcW w:w="6267" w:type="dxa"/>
            <w:tcBorders/>
            <w:shd w:fill="FFFFFF" w:val="clear"/>
            <w:vAlign w:val="center"/>
          </w:tcPr>
          <w:p>
            <w:pPr>
              <w:pStyle w:val="TableContents"/>
              <w:bidi w:val="0"/>
              <w:spacing w:before="0" w:after="283"/>
              <w:jc w:val="left"/>
              <w:rPr/>
            </w:pPr>
            <w:r>
              <w:rPr/>
              <w:t>Depreciation expense</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right"/>
              <w:rPr/>
            </w:pPr>
            <w:r>
              <w:rPr/>
              <w:t>6</w:t>
            </w:r>
          </w:p>
        </w:tc>
        <w:tc>
          <w:tcPr>
            <w:tcW w:w="18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w:t>
            </w:r>
          </w:p>
        </w:tc>
        <w:tc>
          <w:tcPr>
            <w:tcW w:w="314" w:type="dxa"/>
            <w:tcBorders/>
            <w:shd w:fill="FFFFFF" w:val="clear"/>
            <w:vAlign w:val="center"/>
          </w:tcPr>
          <w:p>
            <w:pPr>
              <w:pStyle w:val="TableContents"/>
              <w:bidi w:val="0"/>
              <w:spacing w:before="0" w:after="283"/>
              <w:jc w:val="left"/>
              <w:rPr/>
            </w:pPr>
            <w:r>
              <w:rPr/>
              <w:t> </w:t>
            </w:r>
          </w:p>
        </w:tc>
      </w:tr>
      <w:tr>
        <w:trPr/>
        <w:tc>
          <w:tcPr>
            <w:tcW w:w="6267"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314" w:type="dxa"/>
            <w:tcBorders/>
            <w:shd w:fill="CCEEFF" w:val="clear"/>
            <w:vAlign w:val="center"/>
          </w:tcPr>
          <w:p>
            <w:pPr>
              <w:pStyle w:val="TableContents"/>
              <w:bidi w:val="0"/>
              <w:spacing w:before="0" w:after="283"/>
              <w:jc w:val="left"/>
              <w:rPr/>
            </w:pPr>
            <w:r>
              <w:rPr/>
              <w:t> </w:t>
            </w:r>
          </w:p>
        </w:tc>
      </w:tr>
      <w:tr>
        <w:trPr/>
        <w:tc>
          <w:tcPr>
            <w:tcW w:w="6267"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right"/>
              <w:rPr/>
            </w:pPr>
            <w:r>
              <w:rPr/>
              <w:t>(1,716</w:t>
            </w:r>
          </w:p>
        </w:tc>
        <w:tc>
          <w:tcPr>
            <w:tcW w:w="181" w:type="dxa"/>
            <w:tcBorders/>
            <w:shd w:fill="FFFFFF" w:val="clear"/>
            <w:vAlign w:val="center"/>
          </w:tcPr>
          <w:p>
            <w:pPr>
              <w:pStyle w:val="TableContents"/>
              <w:bidi w:val="0"/>
              <w:spacing w:before="0" w:after="283"/>
              <w:jc w:val="left"/>
              <w:rPr/>
            </w:pPr>
            <w:r>
              <w:rPr/>
              <w:t>)</w:t>
            </w:r>
          </w:p>
        </w:tc>
        <w:tc>
          <w:tcPr>
            <w:tcW w:w="11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27</w:t>
            </w:r>
          </w:p>
        </w:tc>
        <w:tc>
          <w:tcPr>
            <w:tcW w:w="314" w:type="dxa"/>
            <w:tcBorders/>
            <w:shd w:fill="FFFFFF" w:val="clear"/>
            <w:vAlign w:val="center"/>
          </w:tcPr>
          <w:p>
            <w:pPr>
              <w:pStyle w:val="TableContents"/>
              <w:bidi w:val="0"/>
              <w:spacing w:before="0" w:after="283"/>
              <w:jc w:val="left"/>
              <w:rPr/>
            </w:pPr>
            <w:r>
              <w:rPr/>
              <w:t> </w:t>
            </w:r>
          </w:p>
        </w:tc>
      </w:tr>
      <w:tr>
        <w:trPr/>
        <w:tc>
          <w:tcPr>
            <w:tcW w:w="6267"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5</w:t>
            </w:r>
          </w:p>
        </w:tc>
        <w:tc>
          <w:tcPr>
            <w:tcW w:w="18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w:t>
            </w:r>
          </w:p>
        </w:tc>
        <w:tc>
          <w:tcPr>
            <w:tcW w:w="314" w:type="dxa"/>
            <w:tcBorders/>
            <w:shd w:fill="CCEEFF" w:val="clear"/>
            <w:vAlign w:val="center"/>
          </w:tcPr>
          <w:p>
            <w:pPr>
              <w:pStyle w:val="TableContents"/>
              <w:bidi w:val="0"/>
              <w:spacing w:before="0" w:after="283"/>
              <w:jc w:val="left"/>
              <w:rPr/>
            </w:pPr>
            <w:r>
              <w:rPr/>
              <w:t> </w:t>
            </w:r>
          </w:p>
        </w:tc>
      </w:tr>
      <w:tr>
        <w:trPr/>
        <w:tc>
          <w:tcPr>
            <w:tcW w:w="6267"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right"/>
              <w:rPr/>
            </w:pPr>
            <w:r>
              <w:rPr/>
              <w:t>(178</w:t>
            </w:r>
          </w:p>
        </w:tc>
        <w:tc>
          <w:tcPr>
            <w:tcW w:w="181" w:type="dxa"/>
            <w:tcBorders/>
            <w:shd w:fill="FFFFFF" w:val="clear"/>
            <w:vAlign w:val="center"/>
          </w:tcPr>
          <w:p>
            <w:pPr>
              <w:pStyle w:val="TableContents"/>
              <w:bidi w:val="0"/>
              <w:spacing w:before="0" w:after="283"/>
              <w:jc w:val="left"/>
              <w:rPr/>
            </w:pPr>
            <w:r>
              <w:rPr/>
              <w:t>)</w:t>
            </w:r>
          </w:p>
        </w:tc>
        <w:tc>
          <w:tcPr>
            <w:tcW w:w="11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1,022</w:t>
            </w:r>
          </w:p>
        </w:tc>
        <w:tc>
          <w:tcPr>
            <w:tcW w:w="314" w:type="dxa"/>
            <w:tcBorders/>
            <w:shd w:fill="FFFFFF" w:val="clear"/>
            <w:vAlign w:val="center"/>
          </w:tcPr>
          <w:p>
            <w:pPr>
              <w:pStyle w:val="TableContents"/>
              <w:bidi w:val="0"/>
              <w:spacing w:before="0" w:after="283"/>
              <w:jc w:val="left"/>
              <w:rPr/>
            </w:pPr>
            <w:r>
              <w:rPr/>
              <w:t> </w:t>
            </w:r>
          </w:p>
        </w:tc>
      </w:tr>
      <w:tr>
        <w:trPr/>
        <w:tc>
          <w:tcPr>
            <w:tcW w:w="6267"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2,084</w:t>
            </w:r>
          </w:p>
        </w:tc>
        <w:tc>
          <w:tcPr>
            <w:tcW w:w="18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154</w:t>
            </w:r>
          </w:p>
        </w:tc>
        <w:tc>
          <w:tcPr>
            <w:tcW w:w="314" w:type="dxa"/>
            <w:tcBorders/>
            <w:shd w:fill="CCEEFF" w:val="clear"/>
            <w:vAlign w:val="center"/>
          </w:tcPr>
          <w:p>
            <w:pPr>
              <w:pStyle w:val="TableContents"/>
              <w:bidi w:val="0"/>
              <w:spacing w:before="0" w:after="283"/>
              <w:jc w:val="left"/>
              <w:rPr/>
            </w:pPr>
            <w:r>
              <w:rPr/>
              <w:t> </w:t>
            </w:r>
          </w:p>
        </w:tc>
      </w:tr>
      <w:tr>
        <w:trPr/>
        <w:tc>
          <w:tcPr>
            <w:tcW w:w="6267"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6"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18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314" w:type="dxa"/>
            <w:tcBorders/>
            <w:shd w:fill="FFFFFF" w:val="clear"/>
            <w:vAlign w:val="center"/>
          </w:tcPr>
          <w:p>
            <w:pPr>
              <w:pStyle w:val="TableContents"/>
              <w:bidi w:val="0"/>
              <w:spacing w:before="0" w:after="283"/>
              <w:jc w:val="left"/>
              <w:rPr/>
            </w:pPr>
            <w:r>
              <w:rPr/>
              <w:t> </w:t>
            </w:r>
          </w:p>
        </w:tc>
      </w:tr>
      <w:tr>
        <w:trPr/>
        <w:tc>
          <w:tcPr>
            <w:tcW w:w="6267"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2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(3,856</w:t>
            </w:r>
          </w:p>
        </w:tc>
        <w:tc>
          <w:tcPr>
            <w:tcW w:w="181" w:type="dxa"/>
            <w:tcBorders/>
            <w:shd w:fill="CCEEFF" w:val="clear"/>
            <w:vAlign w:val="center"/>
          </w:tcPr>
          <w:p>
            <w:pPr>
              <w:pStyle w:val="TableContents"/>
              <w:bidi w:val="0"/>
              <w:spacing w:before="0" w:after="283"/>
              <w:jc w:val="left"/>
              <w:rPr>
                <w:b/>
              </w:rPr>
            </w:pPr>
            <w:r>
              <w:rPr>
                <w:b/>
              </w:rPr>
              <w:t>)</w:t>
            </w:r>
          </w:p>
        </w:tc>
        <w:tc>
          <w:tcPr>
            <w:tcW w:w="114"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(199</w:t>
            </w:r>
          </w:p>
        </w:tc>
        <w:tc>
          <w:tcPr>
            <w:tcW w:w="314" w:type="dxa"/>
            <w:tcBorders/>
            <w:shd w:fill="CCEEFF" w:val="clear"/>
            <w:vAlign w:val="center"/>
          </w:tcPr>
          <w:p>
            <w:pPr>
              <w:pStyle w:val="TableContents"/>
              <w:bidi w:val="0"/>
              <w:spacing w:before="0" w:after="283"/>
              <w:jc w:val="left"/>
              <w:rPr>
                <w:b/>
              </w:rPr>
            </w:pPr>
            <w:r>
              <w:rPr>
                <w:b/>
              </w:rPr>
              <w:t>)</w:t>
            </w:r>
          </w:p>
        </w:tc>
      </w:tr>
      <w:tr>
        <w:trPr/>
        <w:tc>
          <w:tcPr>
            <w:tcW w:w="6267"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ind w:left="0" w:right="0" w:firstLine="200"/>
              <w:jc w:val="left"/>
              <w:rPr/>
            </w:pPr>
            <w:r>
              <w:rPr/>
              <w:t> </w:t>
            </w:r>
          </w:p>
        </w:tc>
      </w:tr>
      <w:tr>
        <w:trPr/>
        <w:tc>
          <w:tcPr>
            <w:tcW w:w="6267" w:type="dxa"/>
            <w:tcBorders/>
            <w:shd w:fill="CCEEFF" w:val="clear"/>
            <w:vAlign w:val="center"/>
          </w:tcPr>
          <w:p>
            <w:pPr>
              <w:pStyle w:val="TableContents"/>
              <w:bidi w:val="0"/>
              <w:spacing w:before="0" w:after="283"/>
              <w:jc w:val="left"/>
              <w:rPr/>
            </w:pPr>
            <w:r>
              <w:rPr/>
              <w:t>Purchases of equipment</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26" w:type="dxa"/>
            <w:tcBorders>
              <w:bottom w:val="single" w:sz="12" w:space="0" w:color="000000"/>
            </w:tcBorders>
            <w:shd w:fill="CCEEFF" w:val="clear"/>
            <w:tcMar>
              <w:bottom w:w="28" w:type="dxa"/>
            </w:tcMar>
            <w:vAlign w:val="center"/>
          </w:tcPr>
          <w:p>
            <w:pPr>
              <w:pStyle w:val="TableContents"/>
              <w:bidi w:val="0"/>
              <w:spacing w:before="0" w:after="283"/>
              <w:jc w:val="right"/>
              <w:rPr/>
            </w:pPr>
            <w:r>
              <w:rPr/>
              <w:t>(328</w:t>
            </w:r>
          </w:p>
        </w:tc>
        <w:tc>
          <w:tcPr>
            <w:tcW w:w="181"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14" w:type="dxa"/>
            <w:tcBorders/>
            <w:shd w:fill="CCEEFF" w:val="clear"/>
            <w:vAlign w:val="center"/>
          </w:tcPr>
          <w:p>
            <w:pPr>
              <w:pStyle w:val="TableContents"/>
              <w:bidi w:val="0"/>
              <w:spacing w:before="0" w:after="283"/>
              <w:jc w:val="left"/>
              <w:rPr/>
            </w:pPr>
            <w:r>
              <w:rPr/>
              <w:t> </w:t>
            </w:r>
          </w:p>
        </w:tc>
      </w:tr>
      <w:tr>
        <w:trPr/>
        <w:tc>
          <w:tcPr>
            <w:tcW w:w="6267"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(328</w:t>
            </w:r>
          </w:p>
        </w:tc>
        <w:tc>
          <w:tcPr>
            <w:tcW w:w="181" w:type="dxa"/>
            <w:tcBorders/>
            <w:shd w:fill="FFFFFF" w:val="clear"/>
            <w:vAlign w:val="center"/>
          </w:tcPr>
          <w:p>
            <w:pPr>
              <w:pStyle w:val="TableContents"/>
              <w:bidi w:val="0"/>
              <w:spacing w:before="0" w:after="283"/>
              <w:jc w:val="left"/>
              <w:rPr>
                <w:b/>
              </w:rPr>
            </w:pPr>
            <w:r>
              <w:rPr>
                <w:b/>
              </w:rPr>
              <w:t>)</w:t>
            </w:r>
          </w:p>
        </w:tc>
        <w:tc>
          <w:tcPr>
            <w:tcW w:w="114" w:type="dxa"/>
            <w:tcBorders/>
            <w:shd w:fill="FFFFFF" w:val="clear"/>
            <w:vAlign w:val="center"/>
          </w:tcPr>
          <w:p>
            <w:pPr>
              <w:pStyle w:val="TableContents"/>
              <w:bidi w:val="0"/>
              <w:spacing w:before="0" w:after="283"/>
              <w:jc w:val="left"/>
              <w:rPr/>
            </w:pPr>
            <w:r>
              <w:rPr/>
              <w:t> </w:t>
            </w:r>
          </w:p>
        </w:tc>
        <w:tc>
          <w:tcPr>
            <w:tcW w:w="2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314" w:type="dxa"/>
            <w:tcBorders/>
            <w:shd w:fill="FFFFFF" w:val="clear"/>
            <w:vAlign w:val="center"/>
          </w:tcPr>
          <w:p>
            <w:pPr>
              <w:pStyle w:val="TableContents"/>
              <w:bidi w:val="0"/>
              <w:spacing w:before="0" w:after="283"/>
              <w:jc w:val="left"/>
              <w:rPr/>
            </w:pPr>
            <w:r>
              <w:rPr/>
              <w:t> </w:t>
            </w:r>
          </w:p>
        </w:tc>
      </w:tr>
      <w:tr>
        <w:trPr/>
        <w:tc>
          <w:tcPr>
            <w:tcW w:w="6267"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 </w:t>
            </w:r>
          </w:p>
        </w:tc>
        <w:tc>
          <w:tcPr>
            <w:tcW w:w="18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314" w:type="dxa"/>
            <w:tcBorders/>
            <w:shd w:fill="CCEEFF" w:val="clear"/>
            <w:vAlign w:val="center"/>
          </w:tcPr>
          <w:p>
            <w:pPr>
              <w:pStyle w:val="TableContents"/>
              <w:bidi w:val="0"/>
              <w:spacing w:before="0" w:after="283"/>
              <w:ind w:left="0" w:right="0" w:firstLine="200"/>
              <w:jc w:val="left"/>
              <w:rPr/>
            </w:pPr>
            <w:r>
              <w:rPr/>
              <w:t> </w:t>
            </w:r>
          </w:p>
        </w:tc>
      </w:tr>
      <w:tr>
        <w:trPr/>
        <w:tc>
          <w:tcPr>
            <w:tcW w:w="6267" w:type="dxa"/>
            <w:tcBorders/>
            <w:shd w:fill="FFFFFF" w:val="clear"/>
            <w:vAlign w:val="center"/>
          </w:tcPr>
          <w:p>
            <w:pPr>
              <w:pStyle w:val="TableContents"/>
              <w:bidi w:val="0"/>
              <w:spacing w:before="0" w:after="283"/>
              <w:jc w:val="left"/>
              <w:rPr/>
            </w:pPr>
            <w:r>
              <w:rPr/>
              <w:t>Proceeds from related party loans</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8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FFFFFF" w:val="clear"/>
            <w:tcMar>
              <w:bottom w:w="28" w:type="dxa"/>
            </w:tcMar>
            <w:vAlign w:val="center"/>
          </w:tcPr>
          <w:p>
            <w:pPr>
              <w:pStyle w:val="TableContents"/>
              <w:bidi w:val="0"/>
              <w:spacing w:before="0" w:after="283"/>
              <w:jc w:val="right"/>
              <w:rPr/>
            </w:pPr>
            <w:r>
              <w:rPr/>
              <w:t>172</w:t>
            </w:r>
          </w:p>
        </w:tc>
        <w:tc>
          <w:tcPr>
            <w:tcW w:w="314" w:type="dxa"/>
            <w:tcBorders/>
            <w:shd w:fill="FFFFFF" w:val="clear"/>
            <w:vAlign w:val="center"/>
          </w:tcPr>
          <w:p>
            <w:pPr>
              <w:pStyle w:val="TableContents"/>
              <w:bidi w:val="0"/>
              <w:spacing w:before="0" w:after="283"/>
              <w:jc w:val="left"/>
              <w:rPr/>
            </w:pPr>
            <w:r>
              <w:rPr/>
              <w:t> </w:t>
            </w:r>
          </w:p>
        </w:tc>
      </w:tr>
      <w:tr>
        <w:trPr/>
        <w:tc>
          <w:tcPr>
            <w:tcW w:w="6267"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2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18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172</w:t>
            </w:r>
          </w:p>
        </w:tc>
        <w:tc>
          <w:tcPr>
            <w:tcW w:w="314" w:type="dxa"/>
            <w:tcBorders/>
            <w:shd w:fill="CCEEFF" w:val="clear"/>
            <w:vAlign w:val="center"/>
          </w:tcPr>
          <w:p>
            <w:pPr>
              <w:pStyle w:val="TableContents"/>
              <w:bidi w:val="0"/>
              <w:spacing w:before="0" w:after="283"/>
              <w:jc w:val="left"/>
              <w:rPr/>
            </w:pPr>
            <w:r>
              <w:rPr/>
              <w:t> </w:t>
            </w:r>
          </w:p>
        </w:tc>
      </w:tr>
      <w:tr>
        <w:trPr/>
        <w:tc>
          <w:tcPr>
            <w:tcW w:w="6267" w:type="dxa"/>
            <w:tcBorders/>
            <w:shd w:fill="FFFFFF" w:val="clear"/>
            <w:vAlign w:val="center"/>
          </w:tcPr>
          <w:p>
            <w:pPr>
              <w:pStyle w:val="TableContents"/>
              <w:bidi w:val="0"/>
              <w:spacing w:before="0" w:after="283"/>
              <w:jc w:val="left"/>
              <w:rPr>
                <w:b/>
              </w:rPr>
            </w:pPr>
            <w:r>
              <w:rPr>
                <w:b/>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right"/>
              <w:rPr/>
            </w:pPr>
            <w:r>
              <w:rPr/>
              <w:t>(1,997</w:t>
            </w:r>
          </w:p>
        </w:tc>
        <w:tc>
          <w:tcPr>
            <w:tcW w:w="181" w:type="dxa"/>
            <w:tcBorders/>
            <w:shd w:fill="FFFFFF" w:val="clear"/>
            <w:vAlign w:val="center"/>
          </w:tcPr>
          <w:p>
            <w:pPr>
              <w:pStyle w:val="TableContents"/>
              <w:bidi w:val="0"/>
              <w:spacing w:before="0" w:after="283"/>
              <w:jc w:val="left"/>
              <w:rPr/>
            </w:pPr>
            <w:r>
              <w:rPr/>
              <w:t>)</w:t>
            </w:r>
          </w:p>
        </w:tc>
        <w:tc>
          <w:tcPr>
            <w:tcW w:w="11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2</w:t>
            </w:r>
          </w:p>
        </w:tc>
        <w:tc>
          <w:tcPr>
            <w:tcW w:w="314" w:type="dxa"/>
            <w:tcBorders/>
            <w:shd w:fill="FFFFFF" w:val="clear"/>
            <w:vAlign w:val="center"/>
          </w:tcPr>
          <w:p>
            <w:pPr>
              <w:pStyle w:val="TableContents"/>
              <w:bidi w:val="0"/>
              <w:spacing w:before="0" w:after="283"/>
              <w:jc w:val="left"/>
              <w:rPr/>
            </w:pPr>
            <w:r>
              <w:rPr/>
              <w:t> </w:t>
            </w:r>
          </w:p>
        </w:tc>
      </w:tr>
      <w:tr>
        <w:trPr/>
        <w:tc>
          <w:tcPr>
            <w:tcW w:w="6267" w:type="dxa"/>
            <w:tcBorders/>
            <w:shd w:fill="CCEEFF" w:val="clear"/>
            <w:vAlign w:val="center"/>
          </w:tcPr>
          <w:p>
            <w:pPr>
              <w:pStyle w:val="TableContents"/>
              <w:bidi w:val="0"/>
              <w:spacing w:before="0" w:after="283"/>
              <w:jc w:val="left"/>
              <w:rPr>
                <w:b/>
              </w:rPr>
            </w:pPr>
            <w:r>
              <w:rPr>
                <w:b/>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(4,184</w:t>
            </w:r>
          </w:p>
        </w:tc>
        <w:tc>
          <w:tcPr>
            <w:tcW w:w="181"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(27</w:t>
            </w:r>
          </w:p>
        </w:tc>
        <w:tc>
          <w:tcPr>
            <w:tcW w:w="314" w:type="dxa"/>
            <w:tcBorders/>
            <w:shd w:fill="CCEEFF" w:val="clear"/>
            <w:vAlign w:val="center"/>
          </w:tcPr>
          <w:p>
            <w:pPr>
              <w:pStyle w:val="TableContents"/>
              <w:bidi w:val="0"/>
              <w:spacing w:before="0" w:after="283"/>
              <w:ind w:left="0" w:right="0" w:firstLine="201"/>
              <w:jc w:val="left"/>
              <w:rPr/>
            </w:pPr>
            <w:r>
              <w:rPr/>
              <w:t>)</w:t>
            </w:r>
          </w:p>
        </w:tc>
      </w:tr>
      <w:tr>
        <w:trPr/>
        <w:tc>
          <w:tcPr>
            <w:tcW w:w="6267" w:type="dxa"/>
            <w:tcBorders/>
            <w:shd w:fill="FFFFFF" w:val="clear"/>
            <w:vAlign w:val="center"/>
          </w:tcPr>
          <w:p>
            <w:pPr>
              <w:pStyle w:val="TableContents"/>
              <w:bidi w:val="0"/>
              <w:spacing w:before="0" w:after="283"/>
              <w:jc w:val="left"/>
              <w:rPr>
                <w:b/>
              </w:rPr>
            </w:pPr>
            <w:r>
              <w:rPr>
                <w:b/>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6" w:type="dxa"/>
            <w:tcBorders>
              <w:bottom w:val="single" w:sz="12" w:space="0" w:color="000000"/>
            </w:tcBorders>
            <w:shd w:fill="FFFFFF" w:val="clear"/>
            <w:tcMar>
              <w:bottom w:w="28" w:type="dxa"/>
            </w:tcMar>
            <w:vAlign w:val="center"/>
          </w:tcPr>
          <w:p>
            <w:pPr>
              <w:pStyle w:val="TableContents"/>
              <w:bidi w:val="0"/>
              <w:spacing w:before="0" w:after="283"/>
              <w:jc w:val="right"/>
              <w:rPr/>
            </w:pPr>
            <w:r>
              <w:rPr/>
              <w:t>102,882</w:t>
            </w:r>
          </w:p>
        </w:tc>
        <w:tc>
          <w:tcPr>
            <w:tcW w:w="18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FFFFFF" w:val="clear"/>
            <w:tcMar>
              <w:bottom w:w="28" w:type="dxa"/>
            </w:tcMar>
            <w:vAlign w:val="center"/>
          </w:tcPr>
          <w:p>
            <w:pPr>
              <w:pStyle w:val="TableContents"/>
              <w:bidi w:val="0"/>
              <w:spacing w:before="0" w:after="283"/>
              <w:jc w:val="right"/>
              <w:rPr/>
            </w:pPr>
            <w:r>
              <w:rPr/>
              <w:t>69</w:t>
            </w:r>
          </w:p>
        </w:tc>
        <w:tc>
          <w:tcPr>
            <w:tcW w:w="314" w:type="dxa"/>
            <w:tcBorders/>
            <w:shd w:fill="FFFFFF" w:val="clear"/>
            <w:vAlign w:val="center"/>
          </w:tcPr>
          <w:p>
            <w:pPr>
              <w:pStyle w:val="TableContents"/>
              <w:bidi w:val="0"/>
              <w:spacing w:before="0" w:after="283"/>
              <w:ind w:left="0" w:right="0" w:firstLine="201"/>
              <w:jc w:val="left"/>
              <w:rPr/>
            </w:pPr>
            <w:r>
              <w:rPr/>
              <w:t> </w:t>
            </w:r>
          </w:p>
        </w:tc>
      </w:tr>
      <w:tr>
        <w:trPr/>
        <w:tc>
          <w:tcPr>
            <w:tcW w:w="6267" w:type="dxa"/>
            <w:tcBorders/>
            <w:shd w:fill="CCEEFF" w:val="clear"/>
            <w:vAlign w:val="center"/>
          </w:tcPr>
          <w:p>
            <w:pPr>
              <w:pStyle w:val="TableContents"/>
              <w:bidi w:val="0"/>
              <w:spacing w:before="0" w:after="283"/>
              <w:jc w:val="left"/>
              <w:rPr>
                <w:b/>
              </w:rPr>
            </w:pPr>
            <w:r>
              <w:rPr>
                <w:b/>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52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96,701</w:t>
            </w:r>
          </w:p>
        </w:tc>
        <w:tc>
          <w:tcPr>
            <w:tcW w:w="18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w:t>
            </w:r>
          </w:p>
        </w:tc>
        <w:tc>
          <w:tcPr>
            <w:tcW w:w="314" w:type="dxa"/>
            <w:tcBorders/>
            <w:shd w:fill="CCEEFF" w:val="clear"/>
            <w:vAlign w:val="center"/>
          </w:tcPr>
          <w:p>
            <w:pPr>
              <w:pStyle w:val="TableContents"/>
              <w:bidi w:val="0"/>
              <w:spacing w:before="0" w:after="283"/>
              <w:ind w:left="0" w:right="0" w:firstLine="201"/>
              <w:jc w:val="left"/>
              <w:rPr/>
            </w:pPr>
            <w:r>
              <w:rPr/>
              <w:t> </w:t>
            </w:r>
          </w:p>
        </w:tc>
      </w:tr>
      <w:tr>
        <w:trPr/>
        <w:tc>
          <w:tcPr>
            <w:tcW w:w="6267" w:type="dxa"/>
            <w:tcBorders/>
            <w:shd w:fill="FFFFFF" w:val="clear"/>
            <w:vAlign w:val="center"/>
          </w:tcPr>
          <w:p>
            <w:pPr>
              <w:pStyle w:val="TableContents"/>
              <w:bidi w:val="0"/>
              <w:spacing w:before="0" w:after="283"/>
              <w:jc w:val="left"/>
              <w:rPr>
                <w:b/>
              </w:rPr>
            </w:pPr>
            <w:r>
              <w:rPr>
                <w:b/>
              </w:rPr>
              <w:t>Supplemental disclosures for cash flow information</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ind w:left="0" w:right="0" w:firstLine="201"/>
              <w:jc w:val="left"/>
              <w:rPr/>
            </w:pPr>
            <w:r>
              <w:rPr/>
              <w:t> </w:t>
            </w:r>
          </w:p>
        </w:tc>
      </w:tr>
      <w:tr>
        <w:trPr/>
        <w:tc>
          <w:tcPr>
            <w:tcW w:w="6267" w:type="dxa"/>
            <w:tcBorders/>
            <w:shd w:fill="CCEEFF" w:val="clear"/>
            <w:vAlign w:val="center"/>
          </w:tcPr>
          <w:p>
            <w:pPr>
              <w:pStyle w:val="TableContents"/>
              <w:bidi w:val="0"/>
              <w:spacing w:before="0" w:after="283"/>
              <w:jc w:val="left"/>
              <w:rPr>
                <w:b/>
              </w:rPr>
            </w:pPr>
            <w:r>
              <w:rPr>
                <w:b/>
              </w:rPr>
              <w:t>Cash paid for interest</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b/>
              </w:rPr>
            </w:pPr>
            <w:r>
              <w:rPr>
                <w:b/>
              </w:rPr>
              <w:t>$</w:t>
            </w:r>
          </w:p>
        </w:tc>
        <w:tc>
          <w:tcPr>
            <w:tcW w:w="1526" w:type="dxa"/>
            <w:tcBorders/>
            <w:shd w:fill="CCEEFF" w:val="clear"/>
            <w:vAlign w:val="center"/>
          </w:tcPr>
          <w:p>
            <w:pPr>
              <w:pStyle w:val="TableContents"/>
              <w:bidi w:val="0"/>
              <w:spacing w:before="0" w:after="283"/>
              <w:jc w:val="right"/>
              <w:rPr>
                <w:b/>
              </w:rPr>
            </w:pPr>
            <w:r>
              <w:rPr>
                <w:b/>
              </w:rPr>
              <w:t>-</w:t>
            </w:r>
          </w:p>
        </w:tc>
        <w:tc>
          <w:tcPr>
            <w:tcW w:w="18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b/>
              </w:rPr>
            </w:pPr>
            <w:r>
              <w:rPr>
                <w:b/>
              </w:rPr>
              <w:t>$</w:t>
            </w:r>
          </w:p>
        </w:tc>
        <w:tc>
          <w:tcPr>
            <w:tcW w:w="1211" w:type="dxa"/>
            <w:tcBorders/>
            <w:shd w:fill="CCEEFF" w:val="clear"/>
            <w:vAlign w:val="center"/>
          </w:tcPr>
          <w:p>
            <w:pPr>
              <w:pStyle w:val="TableContents"/>
              <w:bidi w:val="0"/>
              <w:spacing w:before="0" w:after="283"/>
              <w:jc w:val="right"/>
              <w:rPr>
                <w:b/>
              </w:rPr>
            </w:pPr>
            <w:r>
              <w:rPr>
                <w:b/>
              </w:rPr>
              <w:t>-</w:t>
            </w:r>
          </w:p>
        </w:tc>
        <w:tc>
          <w:tcPr>
            <w:tcW w:w="314" w:type="dxa"/>
            <w:tcBorders/>
            <w:shd w:fill="CCEEFF" w:val="clear"/>
            <w:vAlign w:val="center"/>
          </w:tcPr>
          <w:p>
            <w:pPr>
              <w:pStyle w:val="TableContents"/>
              <w:bidi w:val="0"/>
              <w:spacing w:before="0" w:after="283"/>
              <w:ind w:left="0" w:right="0" w:firstLine="201"/>
              <w:jc w:val="left"/>
              <w:rPr/>
            </w:pPr>
            <w:r>
              <w:rPr/>
              <w:t> </w:t>
            </w:r>
          </w:p>
        </w:tc>
      </w:tr>
      <w:tr>
        <w:trPr/>
        <w:tc>
          <w:tcPr>
            <w:tcW w:w="6267" w:type="dxa"/>
            <w:tcBorders/>
            <w:shd w:fill="FFFFFF" w:val="clear"/>
            <w:vAlign w:val="center"/>
          </w:tcPr>
          <w:p>
            <w:pPr>
              <w:pStyle w:val="TableContents"/>
              <w:bidi w:val="0"/>
              <w:spacing w:before="0" w:after="283"/>
              <w:jc w:val="left"/>
              <w:rPr>
                <w:b/>
              </w:rPr>
            </w:pPr>
            <w:r>
              <w:rPr>
                <w:b/>
              </w:rPr>
              <w:t>Cash paid for income taxes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b/>
              </w:rPr>
            </w:pPr>
            <w:r>
              <w:rPr>
                <w:b/>
              </w:rPr>
              <w:t>$</w:t>
            </w:r>
          </w:p>
        </w:tc>
        <w:tc>
          <w:tcPr>
            <w:tcW w:w="1526" w:type="dxa"/>
            <w:tcBorders/>
            <w:shd w:fill="FFFFFF" w:val="clear"/>
            <w:vAlign w:val="center"/>
          </w:tcPr>
          <w:p>
            <w:pPr>
              <w:pStyle w:val="TableContents"/>
              <w:bidi w:val="0"/>
              <w:spacing w:before="0" w:after="283"/>
              <w:jc w:val="right"/>
              <w:rPr>
                <w:b/>
              </w:rPr>
            </w:pPr>
            <w:r>
              <w:rPr>
                <w:b/>
              </w:rPr>
              <w:t>-</w:t>
            </w:r>
          </w:p>
        </w:tc>
        <w:tc>
          <w:tcPr>
            <w:tcW w:w="18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b/>
              </w:rPr>
            </w:pPr>
            <w:r>
              <w:rPr>
                <w:b/>
              </w:rPr>
              <w:t>$</w:t>
            </w:r>
          </w:p>
        </w:tc>
        <w:tc>
          <w:tcPr>
            <w:tcW w:w="1211" w:type="dxa"/>
            <w:tcBorders/>
            <w:shd w:fill="FFFFFF" w:val="clear"/>
            <w:vAlign w:val="center"/>
          </w:tcPr>
          <w:p>
            <w:pPr>
              <w:pStyle w:val="TableContents"/>
              <w:bidi w:val="0"/>
              <w:spacing w:before="0" w:after="283"/>
              <w:jc w:val="right"/>
              <w:rPr>
                <w:b/>
              </w:rPr>
            </w:pPr>
            <w:r>
              <w:rPr>
                <w:b/>
              </w:rPr>
              <w:t>-</w:t>
            </w:r>
          </w:p>
        </w:tc>
        <w:tc>
          <w:tcPr>
            <w:tcW w:w="3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br/>
        <w:t>(formerly Terra Innovatum Global Srl.)</w:t>
        <w:br/>
        <w:t>Notes to the Interim Condensed Consolidated Financial Statements</w:t>
        <w:b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Terra Innovatum Global N.V. (the “Company” or “Terra”) is a Dutch public limited liability company (naamloze vennootschap) organized under the laws of the Netherlands. The Company is registered in the Netherlands, and its legal headquarters is in Lucca, Italy, San Marco district at Via Matteo Trenta No. 117.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2025, the Company consummated a business combination with GSR III Acquisition Corp. (“</w:t>
      </w:r>
      <w:r>
        <w:rPr>
          <w:rFonts w:ascii="Times New Roman;Times;Serif" w:hAnsi="Times New Roman;Times;Serif"/>
          <w:b/>
          <w:i w:val="false"/>
          <w:caps w:val="false"/>
          <w:smallCaps w:val="false"/>
          <w:sz w:val="20"/>
        </w:rPr>
        <w:t>GSR III</w:t>
      </w:r>
      <w:r>
        <w:rPr>
          <w:rFonts w:ascii="Times New Roman;Times;Serif" w:hAnsi="Times New Roman;Times;Serif"/>
          <w:b w:val="false"/>
          <w:i w:val="false"/>
          <w:caps w:val="false"/>
          <w:smallCaps w:val="false"/>
          <w:sz w:val="20"/>
        </w:rPr>
        <w:t>”) pursuant to a Business Combination Agreement dated April 21, 2025, as amended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which was accounted for as a recapitalization. Additional details are included in the Company’s Annual Report on Form 10-K for the year ended December 31, 2025. As a result of the Business Combination, the Company became a publicly traded parent company of the combined organization. The Company’s ordinary shares commenced trading on The Nasdaq Stock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“NKLR” on October 10,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Business Combination, Terra Innovatum Srl. (“</w:t>
      </w:r>
      <w:r>
        <w:rPr>
          <w:rFonts w:ascii="Times New Roman;Times;Serif" w:hAnsi="Times New Roman;Times;Serif"/>
          <w:b/>
          <w:i w:val="false"/>
          <w:caps w:val="false"/>
          <w:smallCaps w:val="false"/>
          <w:sz w:val="20"/>
        </w:rPr>
        <w:t>Legacy Terra</w:t>
      </w:r>
      <w:r>
        <w:rPr>
          <w:rFonts w:ascii="Times New Roman;Times;Serif" w:hAnsi="Times New Roman;Times;Serif"/>
          <w:b w:val="false"/>
          <w:i w:val="false"/>
          <w:caps w:val="false"/>
          <w:smallCaps w:val="false"/>
          <w:sz w:val="20"/>
        </w:rPr>
        <w:t>”), the private operating company prior to the Business Combination, continues to operate as a wholly owned subsidiary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developing a micro-modular nuclear reactor known as the SOLO</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Micro-Modular Nuclear Reactor (“</w:t>
      </w:r>
      <w:r>
        <w:rPr>
          <w:rFonts w:ascii="Times New Roman;Times;Serif" w:hAnsi="Times New Roman;Times;Serif"/>
          <w:b/>
          <w:i w:val="false"/>
          <w:caps w:val="false"/>
          <w:smallCaps w:val="false"/>
          <w:sz w:val="20"/>
        </w:rPr>
        <w:t>SOLO</w:t>
      </w:r>
      <w:r>
        <w:rPr>
          <w:rFonts w:ascii="Times New Roman;Times;Serif" w:hAnsi="Times New Roman;Times;Serif"/>
          <w:b w:val="false"/>
          <w:i w:val="false"/>
          <w:caps w:val="false"/>
          <w:smallCaps w:val="false"/>
          <w:sz w:val="20"/>
        </w:rPr>
        <w:t>”). The Company’s activities are currently centered on engineering design, technology validation, regulatory engagement, and supply chain planning related to the SOLO reactor. The SOLO reactor is designed to generate approximately 1 megawatt electric (“</w:t>
      </w:r>
      <w:r>
        <w:rPr>
          <w:rFonts w:ascii="Times New Roman;Times;Serif" w:hAnsi="Times New Roman;Times;Serif"/>
          <w:b/>
          <w:i w:val="false"/>
          <w:caps w:val="false"/>
          <w:smallCaps w:val="false"/>
          <w:sz w:val="20"/>
        </w:rPr>
        <w:t>MWe</w:t>
      </w:r>
      <w:r>
        <w:rPr>
          <w:rFonts w:ascii="Times New Roman;Times;Serif" w:hAnsi="Times New Roman;Times;Serif"/>
          <w:b w:val="false"/>
          <w:i w:val="false"/>
          <w:caps w:val="false"/>
          <w:smallCaps w:val="false"/>
          <w:sz w:val="20"/>
        </w:rPr>
        <w:t>”) of baseload power through a gas-cooled system utilizing commercially available low enriched uranium (“</w:t>
      </w:r>
      <w:r>
        <w:rPr>
          <w:rFonts w:ascii="Times New Roman;Times;Serif" w:hAnsi="Times New Roman;Times;Serif"/>
          <w:b/>
          <w:i w:val="false"/>
          <w:caps w:val="false"/>
          <w:smallCaps w:val="false"/>
          <w:sz w:val="20"/>
        </w:rPr>
        <w:t>LEU</w:t>
      </w:r>
      <w:r>
        <w:rPr>
          <w:rFonts w:ascii="Times New Roman;Times;Serif" w:hAnsi="Times New Roman;Times;Serif"/>
          <w:b w:val="false"/>
          <w:i w:val="false"/>
          <w:caps w:val="false"/>
          <w:smallCaps w:val="false"/>
          <w:sz w:val="20"/>
        </w:rPr>
        <w:t>”). The reactor design contemplates extended operating cycles, including refueling capabilities, subject to regulatory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has completed the conceptual and detailed design phases of SOLO and has validated certain key technological components. The Company has initiated pre-application engagement with the U.S. Nuclear Regulatory Commission (“</w:t>
      </w:r>
      <w:r>
        <w:rPr>
          <w:rFonts w:ascii="Times New Roman;Times;Serif" w:hAnsi="Times New Roman;Times;Serif"/>
          <w:b/>
          <w:i w:val="false"/>
          <w:caps w:val="false"/>
          <w:smallCaps w:val="false"/>
          <w:sz w:val="20"/>
        </w:rPr>
        <w:t>NRC</w:t>
      </w:r>
      <w:r>
        <w:rPr>
          <w:rFonts w:ascii="Times New Roman;Times;Serif" w:hAnsi="Times New Roman;Times;Serif"/>
          <w:b w:val="false"/>
          <w:i w:val="false"/>
          <w:caps w:val="false"/>
          <w:smallCaps w:val="false"/>
          <w:sz w:val="20"/>
        </w:rPr>
        <w:t>”) and is progressing through regulatory and licensing activities required for future construction and operation. The Company has not yet constructed a commercial reactor and has not generated revenues from operations. All activities to date relate to research and development and preparation for potential future commercialization.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early-stage nuclear energy technology company and has not generated revenue from its principal operations. The Company’s activities remain focused on research and development, regulatory engagement, and preparation for future commercialization of its SOLO reactor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is subject to risks and uncertainties common to early-stage development enterprises, including the ability to obtain required regulatory approvals, successfully advance its technology through the licensing process, and continue to access capital to fund operations and future commercialization efforts. The regulatory approval process for nuclear technologies is complex, time-consuming, and subject to factors beyond the Company’s control.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will require substantial additional capital to complete development and achieve commercialization, and there can be no assurance that such financing will be available on acceptable terms, or at all. These factors could impact the Company’s ability to execute its long-term business plan. However, there can be no assurance that additional financing will be available on favorable terms, if at all. These factors could impact the Company’s ability to execute its long-term business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Summary of Significant Accounting Policies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Principles of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have been prepared in accordance with U.S. generally accepted accounting principles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and applicable rules and regulations of the U.S.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regarding interim financial reporting. Any reference in these notes to applicable guidance is meant to refer to U.S. GAAP, as found in the ASC and Accounting Standards Updates (“</w:t>
      </w:r>
      <w:r>
        <w:rPr>
          <w:rFonts w:ascii="Times New Roman;Times;Serif" w:hAnsi="Times New Roman;Times;Serif"/>
          <w:b/>
          <w:i w:val="false"/>
          <w:caps w:val="false"/>
          <w:smallCaps w:val="false"/>
          <w:sz w:val="20"/>
        </w:rPr>
        <w:t>ASUs</w:t>
      </w:r>
      <w:r>
        <w:rPr>
          <w:rFonts w:ascii="Times New Roman;Times;Serif" w:hAnsi="Times New Roman;Times;Serif"/>
          <w:b w:val="false"/>
          <w:i w:val="false"/>
          <w:caps w:val="false"/>
          <w:smallCaps w:val="false"/>
          <w:sz w:val="20"/>
        </w:rPr>
        <w:t>”) of the Financial Accounting Standards Board (“</w:t>
      </w:r>
      <w:r>
        <w:rPr>
          <w:rFonts w:ascii="Times New Roman;Times;Serif" w:hAnsi="Times New Roman;Times;Serif"/>
          <w:b/>
          <w:i w:val="false"/>
          <w:caps w:val="false"/>
          <w:smallCaps w:val="false"/>
          <w:sz w:val="20"/>
        </w:rPr>
        <w:t>FASB</w:t>
      </w:r>
      <w:r>
        <w:rPr>
          <w:rFonts w:ascii="Times New Roman;Times;Serif" w:hAnsi="Times New Roman;Times;Serif"/>
          <w:b w:val="false"/>
          <w:i w:val="false"/>
          <w:caps w:val="false"/>
          <w:smallCaps w:val="false"/>
          <w:sz w:val="20"/>
        </w:rPr>
        <w:t>”). The interim condensed consolidated financial statements include the financial statements of Terra Innovatum Global N.V. and its subsidiaries. All intercompany balances and transactions have been eliminated. The interim condensed consolidated financial statements have been prepared on a going concern basis based on the Company’s cash and cash equivalents of $96,701 as of March 31, 2026 and the Company’s budgeted cash flows for the twelve months following the issuance date of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condensed consolidated financial statements as of March 31, 2026 and for the three months ended March 31, 2026 and 2025, in the opinion of management, include all adjustments, consisting of normal recurring items, to present fairly the Company’s financial position, results of operations, and cash flows. The Company’s operating results for the three months ended March 31, 2026 are not necessarily indicative of the results to be expected for the full year. The interim condensed consolidated financial statements and related notes as of and for the three months ended March 31, 2026 have been prepared on the same basis as and should be read in conjunction with the audited consolidated financial statements for the year ended December 31, 2025. Certain information and footnote disclosures normally included in financial statements prepared in accordance with U.S. GAAP have been condensed or omitted pursuant to the rules of the SEC. The Company believes the disclosures made are adequate to keep the information presented from being misleading.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with the quarterly report on Form 10-Q for the three and nine months ended September 30, 2025, we have elected to present all dollar amounts rounded to the nearest thousand dollars.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Legacy Terra completed a series of restructuring transactions (the “</w:t>
      </w:r>
      <w:r>
        <w:rPr>
          <w:rFonts w:ascii="Times New Roman;Times;Serif" w:hAnsi="Times New Roman;Times;Serif"/>
          <w:b/>
          <w:i w:val="false"/>
          <w:caps w:val="false"/>
          <w:smallCaps w:val="false"/>
          <w:sz w:val="20"/>
        </w:rPr>
        <w:t>Terra Pre-Closing Reorganization</w:t>
      </w:r>
      <w:r>
        <w:rPr>
          <w:rFonts w:ascii="Times New Roman;Times;Serif" w:hAnsi="Times New Roman;Times;Serif"/>
          <w:b w:val="false"/>
          <w:i w:val="false"/>
          <w:caps w:val="false"/>
          <w:smallCaps w:val="false"/>
          <w:sz w:val="20"/>
        </w:rPr>
        <w:t>”) to establish a holding company structure. The Terra Pre-Closing Reorganization was accounted for as a transaction between entities under common control in accordance with Accounting Standards Codification (“</w:t>
      </w:r>
      <w:r>
        <w:rPr>
          <w:rFonts w:ascii="Times New Roman;Times;Serif" w:hAnsi="Times New Roman;Times;Serif"/>
          <w:b/>
          <w:i w:val="false"/>
          <w:caps w:val="false"/>
          <w:smallCaps w:val="false"/>
          <w:sz w:val="20"/>
        </w:rPr>
        <w:t>ASC</w:t>
      </w:r>
      <w:r>
        <w:rPr>
          <w:rFonts w:ascii="Times New Roman;Times;Serif" w:hAnsi="Times New Roman;Times;Serif"/>
          <w:b w:val="false"/>
          <w:i w:val="false"/>
          <w:caps w:val="false"/>
          <w:smallCaps w:val="false"/>
          <w:sz w:val="20"/>
        </w:rPr>
        <w:t>”) 805-50. Accordingly, assets and liabilities were recorded at historical carrying amounts, and no goodwill, gain, or loss was recognized. As the reorganization resulted in a change in the reporting entity, the interim condensed consolidated financial statements have been retrospectively adjusted to include the historical financial results of Legacy Terra, the Company’s predecessor, for all periods presented, as if the current corporate structure had been in effect since the earliest period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condensed consolidated financial statements of the Company are presented in U.S. dollars and include the accounts of the Company and its wholly owned subsidiaries. All intercompany balances and transactions have been eliminated in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whether to consolidate an entity based on whether it has a controlling financial interest under ASC Topic 810, </w:t>
      </w:r>
      <w:r>
        <w:rPr>
          <w:rFonts w:ascii="Times New Roman;Times;Serif" w:hAnsi="Times New Roman;Times;Serif"/>
          <w:b w:val="false"/>
          <w:i/>
          <w:caps w:val="false"/>
          <w:smallCaps w:val="false"/>
          <w:sz w:val="20"/>
        </w:rPr>
        <w:t>Consolidation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ASC 810</w:t>
      </w:r>
      <w:r>
        <w:rPr>
          <w:rFonts w:ascii="Times New Roman;Times;Serif" w:hAnsi="Times New Roman;Times;Serif"/>
          <w:b w:val="false"/>
          <w:i w:val="false"/>
          <w:caps w:val="false"/>
          <w:smallCaps w:val="false"/>
          <w:sz w:val="20"/>
        </w:rPr>
        <w:t>”). A controlling financial interest may be established through either (i) the variable interest entity (“</w:t>
      </w:r>
      <w:r>
        <w:rPr>
          <w:rFonts w:ascii="Times New Roman;Times;Serif" w:hAnsi="Times New Roman;Times;Serif"/>
          <w:b/>
          <w:i w:val="false"/>
          <w:caps w:val="false"/>
          <w:smallCaps w:val="false"/>
          <w:sz w:val="20"/>
        </w:rPr>
        <w:t>VIE</w:t>
      </w:r>
      <w:r>
        <w:rPr>
          <w:rFonts w:ascii="Times New Roman;Times;Serif" w:hAnsi="Times New Roman;Times;Serif"/>
          <w:b w:val="false"/>
          <w:i w:val="false"/>
          <w:caps w:val="false"/>
          <w:smallCaps w:val="false"/>
          <w:sz w:val="20"/>
        </w:rPr>
        <w:t>”) model or (ii) the voting interest model (“</w:t>
      </w:r>
      <w:r>
        <w:rPr>
          <w:rFonts w:ascii="Times New Roman;Times;Serif" w:hAnsi="Times New Roman;Times;Serif"/>
          <w:b/>
          <w:i w:val="false"/>
          <w:caps w:val="false"/>
          <w:smallCaps w:val="false"/>
          <w:sz w:val="20"/>
        </w:rPr>
        <w:t>VOE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VIE model, an entity is considered a VIE if, among other factors, (i) the equity investment at risk is not sufficient to permit the entity to finance its activities without additional subordinated financial support, (ii) the equity holders lack the characteristics of a controlling financial interest, or (iii) voting rights are not substantive. The Company consolidates a VIE if it is the primary beneficiary, defined as the party that both (i) has the power to direct the activities that most significantly impact the entity’s economic performance and (ii) has the obligation to absorb losses or the right to receive benefits that could potentially be significant.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does not meet the definition of a VIE, the Company evaluates consolidation under the voting interest model. Under this model, the Company consolidates entities in which it has a controlling financial interest, generally evidenced by ownership of a majority of the voting interests. The Company has evaluated its legal entities under ASC 810-10-15-14 and determined that none meet the definition of a VIE. Accordingly, all such entities are considered VOEs, and the Company applies the voting interest model and consolidates its subsidiaries based on its controlling financial interest, which is evidenced by 100% ownership of the voting interests.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 and Transaction Gains and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reporting currency is the United States Dollar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while its functional currency is the Euro (“€”), which it uses for conducting business and maintaining its books and records. The accompanying interim condensed consolidated financial statements are presented in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assets and liabilities denominated in foreign currencies are remeasured at period-end exchange rates, and resulting foreign exchange gains and losses are recognized in earnings. For such monetary assets and liabilities that are measured at fair value, the Company has elected to present foreign exchange gains and losses arising from remeasurement within the same line item as the change in fair value of the underlying instruments in the interim condensed consolidated statements of operations, as such amounts are considered an integral component of the overall fair value measurement. For other monetary assets and liabilities not measured at fair value, foreign exchange gains and losses are presented within other income (expense), net in the interim condensed consolidated statements of operations.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830-30, </w:t>
      </w:r>
      <w:r>
        <w:rPr>
          <w:rFonts w:ascii="Times New Roman;Times;Serif" w:hAnsi="Times New Roman;Times;Serif"/>
          <w:b w:val="false"/>
          <w:i/>
          <w:caps w:val="false"/>
          <w:smallCaps w:val="false"/>
          <w:sz w:val="20"/>
        </w:rPr>
        <w:t>Translation of Financial Statements</w:t>
      </w:r>
      <w:r>
        <w:rPr>
          <w:rFonts w:ascii="Times New Roman;Times;Serif" w:hAnsi="Times New Roman;Times;Serif"/>
          <w:b w:val="false"/>
          <w:i w:val="false"/>
          <w:caps w:val="false"/>
          <w:smallCaps w:val="false"/>
          <w:sz w:val="20"/>
        </w:rPr>
        <w:t>, the Company and its subsidiary, Legacy Terra, translates its assets and liabilities from its functional currency into US$ using the exchange rate at the balance sheet date. Revenues and expenses are translated at the average exchange rate for the reporting period. Translation gains and losses are recorded as a separate component of accumulated other comprehensive income (“</w:t>
      </w:r>
      <w:r>
        <w:rPr>
          <w:rFonts w:ascii="Times New Roman;Times;Serif" w:hAnsi="Times New Roman;Times;Serif"/>
          <w:b/>
          <w:i w:val="false"/>
          <w:caps w:val="false"/>
          <w:smallCaps w:val="false"/>
          <w:sz w:val="20"/>
        </w:rPr>
        <w:t>AOCI</w:t>
      </w:r>
      <w:r>
        <w:rPr>
          <w:rFonts w:ascii="Times New Roman;Times;Serif" w:hAnsi="Times New Roman;Times;Serif"/>
          <w:b w:val="false"/>
          <w:i w:val="false"/>
          <w:caps w:val="false"/>
          <w:smallCaps w:val="false"/>
          <w:sz w:val="20"/>
        </w:rPr>
        <w:t>”) within the interim condensed consolidated statements of changes in shareholders’ deficit.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are translated at average exchange rates for the reporting period. As a result, the amounts presented in the interim condensed consolidated statements of cash flows may not directly reconcile with the corresponding changes in balances reported on the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net foreign currency transaction gains recognized in the interim condensed consolidated statements of operations and comprehensive income, primarily from remeasurement of monetary assets and liabilities denominated in currencies other than the functional currency, totaled approximately $2,169 and are included in other income,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and Derivative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warrants and other equity-linked financial instruments, including contingently issuable warrants, under ASC 815-40, </w:t>
      </w:r>
      <w:r>
        <w:rPr>
          <w:rFonts w:ascii="Times New Roman;Times;Serif" w:hAnsi="Times New Roman;Times;Serif"/>
          <w:b w:val="false"/>
          <w:i/>
          <w:caps w:val="false"/>
          <w:smallCaps w:val="false"/>
          <w:sz w:val="20"/>
        </w:rPr>
        <w:t>Derivatives and Hedging—Contracts in an Entity’s Own Equity</w:t>
      </w:r>
      <w:r>
        <w:rPr>
          <w:rFonts w:ascii="Times New Roman;Times;Serif" w:hAnsi="Times New Roman;Times;Serif"/>
          <w:b w:val="false"/>
          <w:i w:val="false"/>
          <w:caps w:val="false"/>
          <w:smallCaps w:val="false"/>
          <w:sz w:val="20"/>
        </w:rPr>
        <w:t xml:space="preserve">, and ASC 480-10,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to determine appropriate classification and subsequent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5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Instruments that meet the conditions for equity classification under ASC 815-40 (including being indexed to the Company’s own stock and requiring physical or net share settlement with no provisions that could require cash settlement outside the Company’s control) are classified in equity at issuance and are not subsequently remeasured.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Instruments that do not meet the equity-classification conditions under ASC 815-40 or that otherwise meet liability-classification criteria under ASC 480-10 are classified as liabilities. Such instruments are initially measured at fair value and subsequently remeasured at each reporting date, with changes in fair value recognized in earnings.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815-40, equity-linked instruments that are contingently issuable, exercisable, or settleable are considered issued for accounting purposes when an enforceable contract or arrangement exists, regardless of whether the contingencies have been resolved. Accordingly, contingently issuable warrants entered into prior to the consummation of a business combination (including warrants issuable upon the completion of a de-SPAC transaction) are recognized prior to the de-SPAC, provided that the counterparty has delivered consideration or performed under the arrangement.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Contingently issuable warrants are evaluated at inception to determine whether they qualify for equity classification or represent liability-classified equity-linked instruments prior to resolution of the contingency. Liability-classified contingent warrants are initially measured at fair value on the issuance date and subsequently remeasured at fair value at each reporting date, with changes in fair value recognized in earnings, until the contingency is resolved or equity classification becomes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resolution of a contingency for instruments that qualify for equity classification, any previously liability-classified warrants are reclassified to equity at their fair value on the resolution date and are not remeasured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evaluates whether warrants or other equity-linked instruments contain foreign-currency-denominated exercise prices or other cross-currency features. Instruments that are not indexed to the Company’s functional currency, as determined under ASC 815-40, are classified as liabilities and measured at fair value, with changes recognized in earnings.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Share-settled Contingent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arrangements that require settlement through the issuance of its ordinary shares upon the occurrence of specified contingent events. The Company evaluates such arrangements to determine the appropriate classification as either a liability or equity in accordance with ASC 480-10, Distinguishing Liabilities from Equity, and ASC 815-40, Contracts in Entity’s Own Equity. An obligation is classified as a liability when the arrangement requires settlement for a fixed or determinable monetary amount through the issuance of a variable number of shares or otherwise does not meet the criteria for equity classification.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Share-settled contingent liabilities are initially recorded at fair value and subsequently remeasured at fair value at each reporting date, with changes in fair value, including the effect of foreign exchange translation, recognized in “change in fair value – share settled contingent liability” in the interim condensed consolidated statements of operations and comprehensive income. The liability is derecognized upon settlement or extinguishment of the underlying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fair value requires management judgment and the use of significant estimates, including assumptions regarding the expected term of the contingent obligation (i.e., the estimated period until the contingency is resolved or the award settles), the Company’s stock-price volatility over that expected term, the probability of achieving any relevant performance or market conditions, and appropriate discount rates. Expected term is based on the contractual term of the arrangement, adjusted as necessary for management’s expectations about the timing of settlement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 that contain settlement features not solely indexed to the Company’s own stock, or that may require issuing a variable number of ordinary shares, are classified as liabilities and remeasured at fair value each period. Preferred shares that require or permit settlement solely in equity instruments and meet equity classification criteria are recorded in permanent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9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related parties are measured at the exchange amount, which is the amount established and agreed to by the related parties. The Company discloses material related-party transactions, including loans, engineering agreements, leases, and service arrangements. Related-party transactions are reviewed by management for reasonableness; however, such transactions may not be conducted at terms equivalent to those that prevail in arm’s-length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domiciled in the Netherlands. However, it is subject to taxation under Italian tax laws. The Company is not currently subject to U.S. federal or state income taxes on its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income taxes under the asset and liability method in accordance with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Under this method, deferred tax assets and liabilities are recognized for the estimated future tax consequences attributable to differences between financial statement carrying amounts of existing assets and liabilities and their respective tax bases. Deferred tax assets and liabilities are measured using enacted rates in effect for the year in which these temporary differences are expected to be recovered or settled. Valuation allowances are provided if, based on the weight of available evidence, it is more likely than not that some or all of the deferred tax assets will not be realized. Management believes that it is more likely than not that all deferred tax assets will not be realized.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liabilities for potential tax payments to various tax authorities related to uncertain tax positions. The liabilities are based on a determination of whether and how much of a tax benefit taken by the Company in its tax filing is more likely than not to be realized following resolution of any potential contingencies present related to the tax benefit. Potential interest and penalties associated with such uncertain tax positions, if any, are recorded as components of income tax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its income tax positions and records tax benefits for all years subject to examination based upon management’s evaluation of the facts, circumstances and information available as of the reporting date. For those tax positions where it is more likely than not that a tax benefit will be sustained, the Company records the largest amount of tax benefit with a greater than 50 percent likelihood of being realized upon ultimate settlement with a taxing authority having full knowledge of all relevant information. For those income tax positions where it is not more likely than not that a tax benefit will be sustained, the Company does not recognize a tax benefit in the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 </w:t>
      </w:r>
      <w:r>
        <w:rPr>
          <w:rFonts w:ascii="Times New Roman;Times;Serif" w:hAnsi="Times New Roman;Times;Serif"/>
          <w:b w:val="false"/>
          <w:i w:val="false"/>
          <w:caps w:val="false"/>
          <w:smallCaps w:val="false"/>
          <w:sz w:val="20"/>
        </w:rPr>
        <w:t>Subsequently, in January 2025, the FASB issued ASU No. 2025-01 to clarify the effective date of this guidance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ASU 2024-03 requires enhanced disclosure regarding specific expense categories, such as inventory costs, employee compensation, and depreciation, within the notes to the financial statements. The pronouncement is effective for annual reporting periods in fiscal years beginning after December 15, 2026, and for interim reporting periods beginning after December 15, 2027, with early adoption permitted. The guidance allows for either prospective or retrospective application. The Company does not expect the adoption of this pronouncement to have a material impact to its interim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ASU No. 2025-07, </w:t>
      </w:r>
      <w:r>
        <w:rPr>
          <w:rFonts w:ascii="Times New Roman;Times;Serif" w:hAnsi="Times New Roman;Times;Serif"/>
          <w:b w:val="false"/>
          <w:i/>
          <w:caps w:val="false"/>
          <w:smallCaps w:val="false"/>
          <w:sz w:val="20"/>
        </w:rPr>
        <w:t>Derivatives and Hedging (Topic 815) and Revenue from Contracts with Customers (Topic 606): Derivative Scope Refinements and Scope Clarification for Share-Based Noncash Consideration from a Customer in a Revenue Contract</w:t>
      </w:r>
      <w:r>
        <w:rPr>
          <w:rFonts w:ascii="Times New Roman;Times;Serif" w:hAnsi="Times New Roman;Times;Serif"/>
          <w:b w:val="false"/>
          <w:i w:val="false"/>
          <w:caps w:val="false"/>
          <w:smallCaps w:val="false"/>
          <w:sz w:val="20"/>
        </w:rPr>
        <w:t xml:space="preserve"> (ASU 2025-07), which refines the scope of Topic 815 by clarifying which contracts are subject to derivative accounting and expands the scope exception for certain contracts not traded on an exchange to include contracts for which settlement is based on operations or activities specific to one of the parties to the contract. The guidance also provides clarification under Topic 606 for share-based payments from a customer in a revenue contract. The guidance is effective for annual periods beginning after December 15, 2026 and interim periods within those annual reporting periods. Early adoption is permitted. The Company is currently evaluating the impact of the adoption of this pronouncement,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the Company entered into a lease agreement with Nine Nuclear and Industrial Engineering S.R.L. (“</w:t>
      </w:r>
      <w:r>
        <w:rPr>
          <w:rFonts w:ascii="Times New Roman;Times;Serif" w:hAnsi="Times New Roman;Times;Serif"/>
          <w:b/>
          <w:i w:val="false"/>
          <w:caps w:val="false"/>
          <w:smallCaps w:val="false"/>
          <w:sz w:val="20"/>
        </w:rPr>
        <w:t>Nine</w:t>
      </w:r>
      <w:r>
        <w:rPr>
          <w:rFonts w:ascii="Times New Roman;Times;Serif" w:hAnsi="Times New Roman;Times;Serif"/>
          <w:b w:val="false"/>
          <w:i w:val="false"/>
          <w:caps w:val="false"/>
          <w:smallCaps w:val="false"/>
          <w:sz w:val="20"/>
        </w:rPr>
        <w:t>”), a related party, to sublease three office rooms from a property unit located in Lucca, Sorbano del Giudice, Via della Chiesa XXXII n. 759. The three office rooms will be used exclusively for professional office purposes and related activities. The term of the lease agreement is 24 months starting from April 1, 2025 and ending on March 31, 2027. Each party may withdraw from the lease agreement at any time before the expiration date of the contract without any penalty. The rent is $12 (€11) per annum, $1 (€1) monthly and an immaterial monthly fee as a flat-rate reimbursement for utilities and cleaning costs (the “</w:t>
      </w:r>
      <w:r>
        <w:rPr>
          <w:rFonts w:ascii="Times New Roman;Times;Serif" w:hAnsi="Times New Roman;Times;Serif"/>
          <w:b/>
          <w:i w:val="false"/>
          <w:caps w:val="false"/>
          <w:smallCaps w:val="false"/>
          <w:sz w:val="20"/>
        </w:rPr>
        <w:t>Lease Fee</w:t>
      </w:r>
      <w:r>
        <w:rPr>
          <w:rFonts w:ascii="Times New Roman;Times;Serif" w:hAnsi="Times New Roman;Times;Serif"/>
          <w:b w:val="false"/>
          <w:i w:val="false"/>
          <w:caps w:val="false"/>
          <w:smallCaps w:val="false"/>
          <w:sz w:val="20"/>
        </w:rPr>
        <w:t>”), with the total monthly amount to be paid no later than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each month. The Lease Fee will be updated annually by 75% of the variation in the official consumer price indices for worker and employee families as determined by the Italian Statistics Day (“</w:t>
      </w:r>
      <w:r>
        <w:rPr>
          <w:rFonts w:ascii="Times New Roman;Times;Serif" w:hAnsi="Times New Roman;Times;Serif"/>
          <w:b/>
          <w:i w:val="false"/>
          <w:caps w:val="false"/>
          <w:smallCaps w:val="false"/>
          <w:sz w:val="20"/>
        </w:rPr>
        <w:t>ISTAT</w:t>
      </w:r>
      <w:r>
        <w:rPr>
          <w:rFonts w:ascii="Times New Roman;Times;Serif" w:hAnsi="Times New Roman;Times;Serif"/>
          <w:b w:val="false"/>
          <w:i w:val="false"/>
          <w:caps w:val="false"/>
          <w:smallCaps w:val="false"/>
          <w:sz w:val="20"/>
        </w:rPr>
        <w:t>”) in the previous year and subsequently year by year, with the first update taking effect on April 1, 2026. During the three months ended March 31, 2026, the Company paid $3 in rent.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Engineering Services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11, 2025, the Company entered into an engineering services agreement with Nine, a related party, to support the design of the SOLO project. Per the terms of the agreement, Nine committed to deliver certain technical services to the Company with a total value of $215 (€184) plus value added tax (“</w:t>
      </w:r>
      <w:r>
        <w:rPr>
          <w:rFonts w:ascii="Times New Roman;Times;Serif" w:hAnsi="Times New Roman;Times;Serif"/>
          <w:b/>
          <w:i w:val="false"/>
          <w:caps w:val="false"/>
          <w:smallCaps w:val="false"/>
          <w:sz w:val="20"/>
        </w:rPr>
        <w:t>VAT</w:t>
      </w:r>
      <w:r>
        <w:rPr>
          <w:rFonts w:ascii="Times New Roman;Times;Serif" w:hAnsi="Times New Roman;Times;Serif"/>
          <w:b w:val="false"/>
          <w:i w:val="false"/>
          <w:caps w:val="false"/>
          <w:smallCaps w:val="false"/>
          <w:sz w:val="20"/>
        </w:rPr>
        <w:t>”). The costs associated with these services were expensed during the three months ended March 31, 2026. Any unpaid amounts as of quarter-end are included in accrued expenses and other current liabilities.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Prepaid Expenses and Other Current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7620" w:type="dxa"/>
        <w:jc w:val="left"/>
        <w:tblInd w:w="0" w:type="dxa"/>
        <w:tblLayout w:type="fixed"/>
        <w:tblCellMar>
          <w:top w:w="0" w:type="dxa"/>
          <w:left w:w="0" w:type="dxa"/>
          <w:bottom w:w="0" w:type="dxa"/>
          <w:right w:w="0" w:type="dxa"/>
        </w:tblCellMar>
      </w:tblPr>
      <w:tblGrid>
        <w:gridCol w:w="4880"/>
        <w:gridCol w:w="60"/>
        <w:gridCol w:w="214"/>
        <w:gridCol w:w="856"/>
        <w:gridCol w:w="60"/>
        <w:gridCol w:w="60"/>
        <w:gridCol w:w="283"/>
        <w:gridCol w:w="1132"/>
        <w:gridCol w:w="75"/>
      </w:tblGrid>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Value added tax</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407</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Technical consultancy</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1,150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177</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Bank interest accrued</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375</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Membership fees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39</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997</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Tax receivables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757</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Advisory fees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243</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Advertising</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27</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12" w:space="0" w:color="000000"/>
            </w:tcBorders>
            <w:shd w:fill="CCEEFF" w:val="clear"/>
            <w:tcMar>
              <w:bottom w:w="28" w:type="dxa"/>
            </w:tcMar>
            <w:vAlign w:val="center"/>
          </w:tcPr>
          <w:p>
            <w:pPr>
              <w:pStyle w:val="TableContents"/>
              <w:bidi w:val="0"/>
              <w:spacing w:before="0" w:after="283"/>
              <w:jc w:val="right"/>
              <w:rPr/>
            </w:pPr>
            <w:r>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126</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b/>
              </w:rPr>
            </w:pPr>
            <w:r>
              <w:rPr>
                <w:b/>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5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3,148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net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5798" w:type="dxa"/>
        <w:jc w:val="left"/>
        <w:tblInd w:w="0" w:type="dxa"/>
        <w:tblLayout w:type="fixed"/>
        <w:tblCellMar>
          <w:top w:w="0" w:type="dxa"/>
          <w:left w:w="0" w:type="dxa"/>
          <w:bottom w:w="0" w:type="dxa"/>
          <w:right w:w="0" w:type="dxa"/>
        </w:tblCellMar>
      </w:tblPr>
      <w:tblGrid>
        <w:gridCol w:w="2990"/>
        <w:gridCol w:w="60"/>
        <w:gridCol w:w="287"/>
        <w:gridCol w:w="782"/>
        <w:gridCol w:w="95"/>
        <w:gridCol w:w="60"/>
        <w:gridCol w:w="380"/>
        <w:gridCol w:w="1034"/>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Fixed assets not in service</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782" w:type="dxa"/>
            <w:tcBorders/>
            <w:shd w:fill="CCEEFF" w:val="clear"/>
            <w:vAlign w:val="center"/>
          </w:tcPr>
          <w:p>
            <w:pPr>
              <w:pStyle w:val="TableContents"/>
              <w:bidi w:val="0"/>
              <w:spacing w:before="0" w:after="283"/>
              <w:jc w:val="right"/>
              <w:rPr/>
            </w:pPr>
            <w:r>
              <w:rPr/>
              <w:t>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113</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Computer hardware</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shd w:fill="FFFFFF" w:val="clear"/>
            <w:tcMar>
              <w:bottom w:w="28" w:type="dxa"/>
            </w:tcM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113</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110" w:type="dxa"/>
            <w:tcBorders/>
            <w:shd w:fill="FFFFFF" w:val="clear"/>
            <w:vAlign w:val="center"/>
          </w:tcPr>
          <w:p>
            <w:pPr>
              <w:pStyle w:val="TableContents"/>
              <w:bidi w:val="0"/>
              <w:spacing w:before="0" w:after="283"/>
              <w:jc w:val="left"/>
              <w:rPr/>
            </w:pPr>
            <w:r>
              <w:rPr/>
              <w:t>)</w:t>
            </w:r>
          </w:p>
        </w:tc>
      </w:tr>
      <w:tr>
        <w:trPr/>
        <w:tc>
          <w:tcPr>
            <w:tcW w:w="2990" w:type="dxa"/>
            <w:tcBorders/>
            <w:shd w:fill="CCEEFF" w:val="clear"/>
            <w:vAlign w:val="center"/>
          </w:tcPr>
          <w:p>
            <w:pPr>
              <w:pStyle w:val="TableContents"/>
              <w:bidi w:val="0"/>
              <w:spacing w:before="0" w:after="283"/>
              <w:jc w:val="left"/>
              <w:rPr>
                <w:b/>
              </w:rPr>
            </w:pPr>
            <w:r>
              <w:rPr>
                <w:b/>
              </w:rPr>
              <w:t>Equipment, net</w:t>
            </w:r>
          </w:p>
        </w:tc>
        <w:tc>
          <w:tcPr>
            <w:tcW w:w="60" w:type="dxa"/>
            <w:tcBorders/>
            <w:shd w:fill="CCEEFF" w:val="clear"/>
            <w:vAlign w:val="center"/>
          </w:tcPr>
          <w:p>
            <w:pPr>
              <w:pStyle w:val="TableContents"/>
              <w:bidi w:val="0"/>
              <w:spacing w:before="0" w:after="283"/>
              <w:jc w:val="left"/>
              <w:rPr/>
            </w:pPr>
            <w:r>
              <w:rPr/>
              <w:t> </w:t>
            </w:r>
          </w:p>
        </w:tc>
        <w:tc>
          <w:tcPr>
            <w:tcW w:w="28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equipment was $6 and $0 during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Accrued Expenses and Other Current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8150" w:type="dxa"/>
        <w:jc w:val="left"/>
        <w:tblInd w:w="0" w:type="dxa"/>
        <w:tblLayout w:type="fixed"/>
        <w:tblCellMar>
          <w:top w:w="0" w:type="dxa"/>
          <w:left w:w="0" w:type="dxa"/>
          <w:bottom w:w="0" w:type="dxa"/>
          <w:right w:w="0" w:type="dxa"/>
        </w:tblCellMar>
      </w:tblPr>
      <w:tblGrid>
        <w:gridCol w:w="5210"/>
        <w:gridCol w:w="60"/>
        <w:gridCol w:w="214"/>
        <w:gridCol w:w="856"/>
        <w:gridCol w:w="60"/>
        <w:gridCol w:w="60"/>
        <w:gridCol w:w="283"/>
        <w:gridCol w:w="1132"/>
        <w:gridCol w:w="275"/>
      </w:tblGrid>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2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ind w:left="0" w:right="0" w:firstLine="200"/>
              <w:jc w:val="left"/>
              <w:rPr/>
            </w:pPr>
            <w:r>
              <w:rPr/>
              <w:t> </w:t>
            </w:r>
          </w:p>
        </w:tc>
      </w:tr>
      <w:tr>
        <w:trPr/>
        <w:tc>
          <w:tcPr>
            <w:tcW w:w="5210" w:type="dxa"/>
            <w:tcBorders/>
            <w:shd w:fill="CCEEFF" w:val="clear"/>
            <w:vAlign w:val="center"/>
          </w:tcPr>
          <w:p>
            <w:pPr>
              <w:pStyle w:val="TableContents"/>
              <w:bidi w:val="0"/>
              <w:spacing w:before="0" w:after="283"/>
              <w:jc w:val="left"/>
              <w:rPr/>
            </w:pPr>
            <w:r>
              <w:rPr/>
              <w:t>Legal, accounting and other professional services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2,254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947</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5210" w:type="dxa"/>
            <w:tcBorders/>
            <w:shd w:fill="FFFFFF" w:val="clear"/>
            <w:vAlign w:val="center"/>
          </w:tcPr>
          <w:p>
            <w:pPr>
              <w:pStyle w:val="TableContents"/>
              <w:bidi w:val="0"/>
              <w:spacing w:before="0" w:after="283"/>
              <w:jc w:val="left"/>
              <w:rPr/>
            </w:pPr>
            <w:r>
              <w:rPr/>
              <w:t>Value added tax payable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315</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5210" w:type="dxa"/>
            <w:tcBorders/>
            <w:shd w:fill="CCEEFF" w:val="clear"/>
            <w:vAlign w:val="center"/>
          </w:tcPr>
          <w:p>
            <w:pPr>
              <w:pStyle w:val="TableContents"/>
              <w:bidi w:val="0"/>
              <w:spacing w:before="0" w:after="283"/>
              <w:jc w:val="left"/>
              <w:rPr/>
            </w:pPr>
            <w:r>
              <w:rPr/>
              <w:t>Technical consultancy</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238</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5210" w:type="dxa"/>
            <w:tcBorders/>
            <w:shd w:fill="FFFFFF" w:val="clear"/>
            <w:vAlign w:val="center"/>
          </w:tcPr>
          <w:p>
            <w:pPr>
              <w:pStyle w:val="TableContents"/>
              <w:bidi w:val="0"/>
              <w:spacing w:before="0" w:after="283"/>
              <w:jc w:val="left"/>
              <w:rPr/>
            </w:pPr>
            <w:r>
              <w:rPr/>
              <w:t>Directors compensation</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113</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5210" w:type="dxa"/>
            <w:tcBorders/>
            <w:shd w:fill="CCEEFF" w:val="clear"/>
            <w:vAlign w:val="center"/>
          </w:tcPr>
          <w:p>
            <w:pPr>
              <w:pStyle w:val="TableContents"/>
              <w:bidi w:val="0"/>
              <w:spacing w:before="0" w:after="283"/>
              <w:jc w:val="left"/>
              <w:rPr/>
            </w:pPr>
            <w:r>
              <w:rPr/>
              <w:t>Wages payable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329</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521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12" w:space="0" w:color="000000"/>
            </w:tcBorders>
            <w:shd w:fill="FFFFFF" w:val="clear"/>
            <w:tcMar>
              <w:bottom w:w="28" w:type="dxa"/>
            </w:tcMar>
            <w:vAlign w:val="center"/>
          </w:tcPr>
          <w:p>
            <w:pPr>
              <w:pStyle w:val="TableContents"/>
              <w:bidi w:val="0"/>
              <w:spacing w:before="0" w:after="283"/>
              <w:jc w:val="right"/>
              <w:rPr/>
            </w:pPr>
            <w:r>
              <w:rPr/>
              <w:t>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67</w:t>
            </w:r>
          </w:p>
        </w:tc>
        <w:tc>
          <w:tcPr>
            <w:tcW w:w="2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b/>
              </w:rPr>
            </w:pPr>
            <w:r>
              <w:rPr>
                <w:b/>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2,009</w:t>
            </w:r>
          </w:p>
        </w:tc>
        <w:tc>
          <w:tcPr>
            <w:tcW w:w="2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Fair Value Measurements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Instruments Not Recorded at Fair Value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their short-term nature, the carrying value of the Company’s cash and cash equivalents, prepaid expenses and other current assets, accounts receivable, accounts payable and other non-current liabilities approximate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Instruments Recorded at Fair Value on a Recurring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Share-settled Contingent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consummation of the Business Combination on October 9, 2025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the Company entered into share-settled arrangements involving (i) contingently Convertible Preferred Shares issued to former Terra Innovatum Global Srl. quotaholders and (ii) contingently vesting GSR III Sponsor LLC (“</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ordinary shares subject to market-based and regulatory milestones. These arrangements may result in the issuance or vesting of a variable number of ordinary shares and are not solely indexed to the Company’s stock price. As a result, they were initially classified and measured as liabilities at fair value, with the related amounts recorded within share-settled contingent liability in the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certain milestones were achieved, resulting in the settlement of a portion of these arrangements. Immediately prior to settlement, the corresponding share-settled contingent liability was remeasured to fair value. Upon settlement, the related liability was reclassified to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unearned milestone tranches remain classified as share-settled contingent liabilities and are remeasured at fair value at each reporting date, with changes recognized in earnings until the applicable milestones are achieved or expire.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provide a summary of changes in the estimated fair value of the Share-Settled Contingent Liability using significant Level 3 inputs: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95"/>
        <w:gridCol w:w="60"/>
        <w:gridCol w:w="140"/>
        <w:gridCol w:w="800"/>
        <w:gridCol w:w="110"/>
      </w:tblGrid>
      <w:tr>
        <w:trPr/>
        <w:tc>
          <w:tcPr>
            <w:tcW w:w="9095" w:type="dxa"/>
            <w:tcBorders/>
            <w:shd w:fill="CCEEFF" w:val="clear"/>
            <w:vAlign w:val="center"/>
          </w:tcPr>
          <w:p>
            <w:pPr>
              <w:pStyle w:val="TableContents"/>
              <w:bidi w:val="0"/>
              <w:spacing w:before="0" w:after="283"/>
              <w:jc w:val="left"/>
              <w:rPr>
                <w:b/>
              </w:rPr>
            </w:pPr>
            <w:r>
              <w:rPr>
                <w:b/>
              </w:rPr>
              <w:t>Balance - January 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186,323</w:t>
            </w:r>
          </w:p>
        </w:tc>
        <w:tc>
          <w:tcPr>
            <w:tcW w:w="110" w:type="dxa"/>
            <w:tcBorders/>
            <w:shd w:fill="CCEEFF" w:val="clear"/>
            <w:vAlign w:val="center"/>
          </w:tcPr>
          <w:p>
            <w:pPr>
              <w:pStyle w:val="TableContents"/>
              <w:bidi w:val="0"/>
              <w:spacing w:before="0" w:after="283"/>
              <w:jc w:val="left"/>
              <w:rPr/>
            </w:pPr>
            <w:r>
              <w:rPr/>
              <w:t> </w:t>
            </w:r>
          </w:p>
        </w:tc>
      </w:tr>
      <w:tr>
        <w:trPr/>
        <w:tc>
          <w:tcPr>
            <w:tcW w:w="9095" w:type="dxa"/>
            <w:tcBorders/>
            <w:shd w:fill="FFFFFF" w:val="clear"/>
            <w:vAlign w:val="center"/>
          </w:tcPr>
          <w:p>
            <w:pPr>
              <w:pStyle w:val="TableContents"/>
              <w:bidi w:val="0"/>
              <w:spacing w:before="0" w:after="283"/>
              <w:jc w:val="left"/>
              <w:rPr/>
            </w:pPr>
            <w:r>
              <w:rPr/>
              <w:t>Loss recognized in earnings due to change of fair value, net of foreign currency remeasurement impact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3,335</w:t>
            </w:r>
          </w:p>
        </w:tc>
        <w:tc>
          <w:tcPr>
            <w:tcW w:w="110" w:type="dxa"/>
            <w:tcBorders/>
            <w:shd w:fill="FFFFFF" w:val="clear"/>
            <w:vAlign w:val="center"/>
          </w:tcPr>
          <w:p>
            <w:pPr>
              <w:pStyle w:val="TableContents"/>
              <w:bidi w:val="0"/>
              <w:spacing w:before="0" w:after="283"/>
              <w:jc w:val="left"/>
              <w:rPr/>
            </w:pPr>
            <w:r>
              <w:rPr/>
              <w:t> </w:t>
            </w:r>
          </w:p>
        </w:tc>
      </w:tr>
      <w:tr>
        <w:trPr/>
        <w:tc>
          <w:tcPr>
            <w:tcW w:w="9095"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(3,798</w:t>
            </w:r>
          </w:p>
        </w:tc>
        <w:tc>
          <w:tcPr>
            <w:tcW w:w="110" w:type="dxa"/>
            <w:tcBorders/>
            <w:shd w:fill="CCEEFF" w:val="clear"/>
            <w:vAlign w:val="center"/>
          </w:tcPr>
          <w:p>
            <w:pPr>
              <w:pStyle w:val="TableContents"/>
              <w:bidi w:val="0"/>
              <w:spacing w:before="0" w:after="283"/>
              <w:jc w:val="left"/>
              <w:rPr/>
            </w:pPr>
            <w:r>
              <w:rPr/>
              <w:t>)</w:t>
            </w:r>
          </w:p>
        </w:tc>
      </w:tr>
      <w:tr>
        <w:trPr/>
        <w:tc>
          <w:tcPr>
            <w:tcW w:w="9095" w:type="dxa"/>
            <w:tcBorders/>
            <w:shd w:fill="FFFFFF" w:val="clear"/>
            <w:vAlign w:val="center"/>
          </w:tcPr>
          <w:p>
            <w:pPr>
              <w:pStyle w:val="TableContents"/>
              <w:bidi w:val="0"/>
              <w:spacing w:before="0" w:after="283"/>
              <w:jc w:val="left"/>
              <w:rPr>
                <w:b/>
              </w:rPr>
            </w:pPr>
            <w:r>
              <w:rPr>
                <w:b/>
              </w:rPr>
              <w:t>Balance -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185,860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the Share-Settled Contingent Liability using the Monte Carlo option pricing model with the following inputs:</w:t>
      </w:r>
    </w:p>
    <w:p>
      <w:pPr>
        <w:pStyle w:val="TextBody"/>
        <w:bidi w:val="0"/>
        <w:spacing w:before="0" w:after="0"/>
        <w:ind w:left="0" w:right="0" w:firstLine="360"/>
        <w:jc w:val="both"/>
        <w:rPr>
          <w:caps w:val="false"/>
          <w:smallCaps w:val="false"/>
        </w:rPr>
      </w:pPr>
      <w:r>
        <w:rPr>
          <w:caps w:val="false"/>
          <w:smallCaps w:val="false"/>
        </w:rPr>
        <w:t> </w:t>
      </w:r>
    </w:p>
    <w:tbl>
      <w:tblPr>
        <w:tblW w:w="5070" w:type="dxa"/>
        <w:jc w:val="left"/>
        <w:tblInd w:w="0" w:type="dxa"/>
        <w:tblLayout w:type="fixed"/>
        <w:tblCellMar>
          <w:top w:w="0" w:type="dxa"/>
          <w:left w:w="0" w:type="dxa"/>
          <w:bottom w:w="0" w:type="dxa"/>
          <w:right w:w="0" w:type="dxa"/>
        </w:tblCellMar>
      </w:tblPr>
      <w:tblGrid>
        <w:gridCol w:w="3830"/>
        <w:gridCol w:w="60"/>
        <w:gridCol w:w="60"/>
        <w:gridCol w:w="890"/>
        <w:gridCol w:w="230"/>
      </w:tblGrid>
      <w:tr>
        <w:trPr/>
        <w:tc>
          <w:tcPr>
            <w:tcW w:w="3830" w:type="dxa"/>
            <w:tcBorders/>
            <w:shd w:fill="CCEEFF" w:val="clear"/>
            <w:vAlign w:val="center"/>
          </w:tcPr>
          <w:p>
            <w:pPr>
              <w:pStyle w:val="TableContents"/>
              <w:bidi w:val="0"/>
              <w:spacing w:before="0" w:after="283"/>
              <w:jc w:val="left"/>
              <w:rPr/>
            </w:pPr>
            <w:r>
              <w:rPr/>
              <w:t>Weighted average expected term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6.5</w:t>
            </w:r>
          </w:p>
        </w:tc>
        <w:tc>
          <w:tcPr>
            <w:tcW w:w="23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Weighted average 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125.0</w:t>
            </w:r>
          </w:p>
        </w:tc>
        <w:tc>
          <w:tcPr>
            <w:tcW w:w="230" w:type="dxa"/>
            <w:tcBorders/>
            <w:shd w:fill="FFFFFF" w:val="clear"/>
            <w:vAlign w:val="center"/>
          </w:tcPr>
          <w:p>
            <w:pPr>
              <w:pStyle w:val="TableContents"/>
              <w:bidi w:val="0"/>
              <w:spacing w:before="0" w:after="283"/>
              <w:jc w:val="left"/>
              <w:rPr/>
            </w:pPr>
            <w:r>
              <w:rPr/>
              <w:t>%</w:t>
            </w:r>
          </w:p>
        </w:tc>
      </w:tr>
      <w:tr>
        <w:trPr/>
        <w:tc>
          <w:tcPr>
            <w:tcW w:w="38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3.61 - 4.74</w:t>
            </w:r>
          </w:p>
        </w:tc>
        <w:tc>
          <w:tcPr>
            <w:tcW w:w="230" w:type="dxa"/>
            <w:tcBorders/>
            <w:shd w:fill="CCEEFF" w:val="clear"/>
            <w:vAlign w:val="center"/>
          </w:tcPr>
          <w:p>
            <w:pPr>
              <w:pStyle w:val="TableContents"/>
              <w:bidi w:val="0"/>
              <w:spacing w:before="0" w:after="283"/>
              <w:jc w:val="left"/>
              <w:rPr/>
            </w:pPr>
            <w:r>
              <w:rPr/>
              <w:t>%</w:t>
            </w:r>
          </w:p>
        </w:tc>
      </w:tr>
      <w:tr>
        <w:trPr/>
        <w:tc>
          <w:tcPr>
            <w:tcW w:w="3830"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 of the Share-settled Contingent Liability is classified within Level 3 of the fair value hierarchy due to the use of significant unobservable inputs. The valuation is sensitive to changes in expected volatility and the probability-weighted outcomes associated with achieving the applicable market-based and regulatory milestones, such that increases in these assumptions would generally result in a higher fair value measurement and decreases would result in a lower fair value measurement. Certain unobservable inputs are interrelated, and changes in one assumption may magnify or mitigate the effects of changes in other assumptions. Changes in these unobservable inputs are subject to estimation uncertainty, and reasonably different assumptions could have resulted in a materially different fair value measurement at the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 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issued to the PIPE Investor and Bridge Loan lenders in connection with the Merger are accounted for as liabilities in accordance with ASC 815-40 and are presented within warrant liabilities in the consolidated balance sheets. Warrant liabilities are measured at fair value at inception and on a recurring basis, with changes in fair value presented within change in fair value of warrant liabilities in the interim condensed consolidated statements of operations and comprehensive income (loss).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liability-classified warrants is estimated using a Monte Carlo simulation model, which considers the probability-weighted outcomes of future share price paths. Significant inputs used in the valuation include the Company’s share price at the valuation date, expected share price volatility, risk-free interest rate, expected term of the warrants, and expected dividend yield.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valuation relies on significant unobservable inputs, the liability-classified warrants are classified within Level 3 of the fair value hierarchy.</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the liability-classified warrants is sensitive to changes in key unobservable inputs, particularly expected share price volatility and the probability-weighted outcomes of future share price paths. Increases in expected volatility would generally result in a higher fair value measurement, while decreases would result in a lower fair value. Additionally, changes in assumptions regarding the Company’s expected share price performance could materially affect the estimated fair value. Although management believes the assumptions used are reasonable and consistent with available market information, different assumptions could have resulted in a materially different fair value measurement at the reporting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significant assumptions used in the valuation of the liability-classified warrants as of March 31, 2026:</w:t>
      </w:r>
    </w:p>
    <w:p>
      <w:pPr>
        <w:pStyle w:val="TextBody"/>
        <w:bidi w:val="0"/>
        <w:spacing w:before="0" w:after="0"/>
        <w:ind w:left="0" w:right="0" w:firstLine="720"/>
        <w:jc w:val="both"/>
        <w:rPr>
          <w:caps w:val="false"/>
          <w:smallCaps w:val="false"/>
        </w:rPr>
      </w:pPr>
      <w:r>
        <w:rPr>
          <w:caps w:val="false"/>
          <w:smallCaps w:val="false"/>
        </w:rPr>
        <w:t> </w:t>
      </w:r>
    </w:p>
    <w:tbl>
      <w:tblPr>
        <w:tblW w:w="7238" w:type="dxa"/>
        <w:jc w:val="left"/>
        <w:tblInd w:w="0" w:type="dxa"/>
        <w:tblLayout w:type="fixed"/>
        <w:tblCellMar>
          <w:top w:w="0" w:type="dxa"/>
          <w:left w:w="0" w:type="dxa"/>
          <w:bottom w:w="0" w:type="dxa"/>
          <w:right w:w="0" w:type="dxa"/>
        </w:tblCellMar>
      </w:tblPr>
      <w:tblGrid>
        <w:gridCol w:w="3830"/>
        <w:gridCol w:w="60"/>
        <w:gridCol w:w="148"/>
        <w:gridCol w:w="1386"/>
        <w:gridCol w:w="215"/>
        <w:gridCol w:w="60"/>
        <w:gridCol w:w="126"/>
        <w:gridCol w:w="1183"/>
        <w:gridCol w:w="230"/>
      </w:tblGrid>
      <w:tr>
        <w:trPr/>
        <w:tc>
          <w:tcPr>
            <w:tcW w:w="3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PIPE Warrant</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09" w:type="dxa"/>
            <w:gridSpan w:val="2"/>
            <w:tcBorders>
              <w:bottom w:val="single" w:sz="12" w:space="0" w:color="000000"/>
            </w:tcBorders>
            <w:tcMar>
              <w:bottom w:w="28" w:type="dxa"/>
            </w:tcMar>
            <w:vAlign w:val="center"/>
          </w:tcPr>
          <w:p>
            <w:pPr>
              <w:pStyle w:val="TableContents"/>
              <w:bidi w:val="0"/>
              <w:jc w:val="center"/>
              <w:rPr>
                <w:b/>
              </w:rPr>
            </w:pPr>
            <w:r>
              <w:rPr>
                <w:b/>
              </w:rPr>
              <w:t>Bridge Loan</w:t>
            </w:r>
          </w:p>
          <w:p>
            <w:pPr>
              <w:pStyle w:val="TableContents"/>
              <w:bidi w:val="0"/>
              <w:spacing w:before="0" w:after="283"/>
              <w:jc w:val="center"/>
              <w:rPr>
                <w:b/>
              </w:rPr>
            </w:pPr>
            <w:r>
              <w:rPr>
                <w:b/>
              </w:rPr>
              <w:t>Warrant</w:t>
            </w:r>
          </w:p>
        </w:tc>
        <w:tc>
          <w:tcPr>
            <w:tcW w:w="230" w:type="dxa"/>
            <w:tcBorders/>
            <w:vAlign w:val="center"/>
          </w:tcPr>
          <w:p>
            <w:pPr>
              <w:pStyle w:val="TableContents"/>
              <w:bidi w:val="0"/>
              <w:spacing w:before="0" w:after="283"/>
              <w:jc w:val="center"/>
              <w:rPr/>
            </w:pPr>
            <w:r>
              <w:rPr/>
              <w:t> </w:t>
            </w:r>
          </w:p>
        </w:tc>
      </w:tr>
      <w:tr>
        <w:trPr/>
        <w:tc>
          <w:tcPr>
            <w:tcW w:w="3830" w:type="dxa"/>
            <w:tcBorders/>
            <w:shd w:fill="CCEEFF" w:val="clear"/>
            <w:vAlign w:val="center"/>
          </w:tcPr>
          <w:p>
            <w:pPr>
              <w:pStyle w:val="TableContents"/>
              <w:bidi w:val="0"/>
              <w:spacing w:before="0" w:after="283"/>
              <w:jc w:val="left"/>
              <w:rPr/>
            </w:pPr>
            <w:r>
              <w:rPr/>
              <w:t>Weighted average expected term (years)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386" w:type="dxa"/>
            <w:tcBorders/>
            <w:shd w:fill="CCEEFF" w:val="clear"/>
            <w:vAlign w:val="center"/>
          </w:tcPr>
          <w:p>
            <w:pPr>
              <w:pStyle w:val="TableContents"/>
              <w:bidi w:val="0"/>
              <w:spacing w:before="0" w:after="283"/>
              <w:jc w:val="right"/>
              <w:rPr/>
            </w:pPr>
            <w:r>
              <w:rPr/>
              <w:t>4.53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2.53</w:t>
            </w:r>
          </w:p>
        </w:tc>
        <w:tc>
          <w:tcPr>
            <w:tcW w:w="23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pPr>
            <w:r>
              <w:rPr/>
              <w:t>Weighted average expected volatility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right"/>
              <w:rPr/>
            </w:pPr>
            <w:r>
              <w:rPr/>
              <w:t>125.0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125.0</w:t>
            </w:r>
          </w:p>
        </w:tc>
        <w:tc>
          <w:tcPr>
            <w:tcW w:w="230" w:type="dxa"/>
            <w:tcBorders/>
            <w:shd w:fill="FFFFFF" w:val="clear"/>
            <w:vAlign w:val="center"/>
          </w:tcPr>
          <w:p>
            <w:pPr>
              <w:pStyle w:val="TableContents"/>
              <w:bidi w:val="0"/>
              <w:spacing w:before="0" w:after="283"/>
              <w:jc w:val="left"/>
              <w:rPr/>
            </w:pPr>
            <w:r>
              <w:rPr/>
              <w:t>%</w:t>
            </w:r>
          </w:p>
        </w:tc>
      </w:tr>
      <w:tr>
        <w:trPr/>
        <w:tc>
          <w:tcPr>
            <w:tcW w:w="38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386" w:type="dxa"/>
            <w:tcBorders/>
            <w:shd w:fill="CCEEFF" w:val="clear"/>
            <w:vAlign w:val="center"/>
          </w:tcPr>
          <w:p>
            <w:pPr>
              <w:pStyle w:val="TableContents"/>
              <w:bidi w:val="0"/>
              <w:spacing w:before="0" w:after="283"/>
              <w:jc w:val="right"/>
              <w:rPr/>
            </w:pPr>
            <w:r>
              <w:rPr/>
              <w:t>3.8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3.7</w:t>
            </w:r>
          </w:p>
        </w:tc>
        <w:tc>
          <w:tcPr>
            <w:tcW w:w="230" w:type="dxa"/>
            <w:tcBorders/>
            <w:shd w:fill="CCEEFF" w:val="clear"/>
            <w:vAlign w:val="center"/>
          </w:tcPr>
          <w:p>
            <w:pPr>
              <w:pStyle w:val="TableContents"/>
              <w:bidi w:val="0"/>
              <w:spacing w:before="0" w:after="283"/>
              <w:jc w:val="left"/>
              <w:rPr/>
            </w:pPr>
            <w:r>
              <w:rPr/>
              <w:t>%</w:t>
            </w:r>
          </w:p>
        </w:tc>
      </w:tr>
      <w:tr>
        <w:trPr/>
        <w:tc>
          <w:tcPr>
            <w:tcW w:w="3830"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periods presented, there were no transfers between levels of the fair value hierarchy.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Equity-Classified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Company issued warrants to certain investors to purchase up to 1,000,000 ordinary shares at an exercise price of $7.00 per share. The warrants are exercisable for a term of five years and are classified as equity. These warrants were issued in exchange for advisory services and accounted for as share-based compensation under ASC 718.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Liability-Classified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outstanding warrants issued in connection with the PIPE financing and prior bridge arrangements. These warrants are exercisable at prices ranging from $11.50 to $16.00 per share and have terms of up to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classified as liabilities as they are not considered indexed to the Company’s functional currency in accordance with ASC 815-40. As a result, the warrants are recorded at fair value upon issuance and remeasured at fair value at each reporting date, with changes in fair value recognized in the interim condensed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these warrants were issued in connection with bridge loans that were outstanding prior to the Business Combination and were converted into equity at Closing.</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activity in the Company’s warrant liabilities for the period ended March 31, 2026:</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62"/>
        <w:gridCol w:w="60"/>
        <w:gridCol w:w="184"/>
        <w:gridCol w:w="736"/>
        <w:gridCol w:w="95"/>
        <w:gridCol w:w="60"/>
        <w:gridCol w:w="239"/>
        <w:gridCol w:w="958"/>
        <w:gridCol w:w="111"/>
      </w:tblGrid>
      <w:tr>
        <w:trPr/>
        <w:tc>
          <w:tcPr>
            <w:tcW w:w="77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PIPE</w:t>
              <w:br/>
              <w:t>Warrant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Bridge Loan</w:t>
              <w:br/>
              <w:t>Warrant</w:t>
            </w:r>
          </w:p>
        </w:tc>
        <w:tc>
          <w:tcPr>
            <w:tcW w:w="111" w:type="dxa"/>
            <w:tcBorders/>
            <w:vAlign w:val="center"/>
          </w:tcPr>
          <w:p>
            <w:pPr>
              <w:pStyle w:val="TableContents"/>
              <w:bidi w:val="0"/>
              <w:spacing w:before="0" w:after="283"/>
              <w:jc w:val="center"/>
              <w:rPr/>
            </w:pPr>
            <w:r>
              <w:rPr/>
              <w:t> </w:t>
            </w:r>
          </w:p>
        </w:tc>
      </w:tr>
      <w:tr>
        <w:trPr/>
        <w:tc>
          <w:tcPr>
            <w:tcW w:w="7762" w:type="dxa"/>
            <w:tcBorders/>
            <w:shd w:fill="CCEEFF" w:val="clear"/>
            <w:vAlign w:val="center"/>
          </w:tcPr>
          <w:p>
            <w:pPr>
              <w:pStyle w:val="TableContents"/>
              <w:bidi w:val="0"/>
              <w:spacing w:before="0" w:after="283"/>
              <w:jc w:val="left"/>
              <w:rPr>
                <w:b/>
              </w:rPr>
            </w:pPr>
            <w:r>
              <w:rPr>
                <w:b/>
              </w:rPr>
              <w:t>Balance - January 1, 2026</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5,931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8" w:type="dxa"/>
            <w:tcBorders/>
            <w:shd w:fill="CCEEFF" w:val="clear"/>
            <w:vAlign w:val="center"/>
          </w:tcPr>
          <w:p>
            <w:pPr>
              <w:pStyle w:val="TableContents"/>
              <w:bidi w:val="0"/>
              <w:spacing w:before="0" w:after="283"/>
              <w:jc w:val="right"/>
              <w:rPr/>
            </w:pPr>
            <w:r>
              <w:rPr/>
              <w:t>4,305</w:t>
            </w:r>
          </w:p>
        </w:tc>
        <w:tc>
          <w:tcPr>
            <w:tcW w:w="111" w:type="dxa"/>
            <w:tcBorders/>
            <w:shd w:fill="CCEEFF" w:val="clear"/>
            <w:vAlign w:val="center"/>
          </w:tcPr>
          <w:p>
            <w:pPr>
              <w:pStyle w:val="TableContents"/>
              <w:bidi w:val="0"/>
              <w:spacing w:before="0" w:after="283"/>
              <w:jc w:val="left"/>
              <w:rPr/>
            </w:pPr>
            <w:r>
              <w:rPr/>
              <w:t> </w:t>
            </w:r>
          </w:p>
        </w:tc>
      </w:tr>
      <w:tr>
        <w:trPr/>
        <w:tc>
          <w:tcPr>
            <w:tcW w:w="7762" w:type="dxa"/>
            <w:tcBorders/>
            <w:shd w:fill="FFFFFF" w:val="clear"/>
            <w:vAlign w:val="center"/>
          </w:tcPr>
          <w:p>
            <w:pPr>
              <w:pStyle w:val="TableContents"/>
              <w:bidi w:val="0"/>
              <w:spacing w:before="0" w:after="283"/>
              <w:jc w:val="left"/>
              <w:rPr/>
            </w:pPr>
            <w:r>
              <w:rPr/>
              <w:t>Loss (gain) recognized in earnings due to change in fair value, net of foreign currency remeasurement impact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(154</w:t>
            </w:r>
          </w:p>
        </w:tc>
        <w:tc>
          <w:tcPr>
            <w:tcW w:w="111" w:type="dxa"/>
            <w:tcBorders/>
            <w:shd w:fill="FFFFFF" w:val="clear"/>
            <w:vAlign w:val="center"/>
          </w:tcPr>
          <w:p>
            <w:pPr>
              <w:pStyle w:val="TableContents"/>
              <w:bidi w:val="0"/>
              <w:spacing w:before="0" w:after="283"/>
              <w:jc w:val="left"/>
              <w:rPr/>
            </w:pPr>
            <w:r>
              <w:rPr/>
              <w:t>)</w:t>
            </w:r>
          </w:p>
        </w:tc>
      </w:tr>
      <w:tr>
        <w:trPr/>
        <w:tc>
          <w:tcPr>
            <w:tcW w:w="7762" w:type="dxa"/>
            <w:tcBorders/>
            <w:shd w:fill="CCEEFF" w:val="clear"/>
            <w:vAlign w:val="center"/>
          </w:tcPr>
          <w:p>
            <w:pPr>
              <w:pStyle w:val="TableContents"/>
              <w:bidi w:val="0"/>
              <w:spacing w:before="0" w:after="283"/>
              <w:jc w:val="left"/>
              <w:rPr/>
            </w:pPr>
            <w:r>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CCEEFF" w:val="clear"/>
            <w:tcMar>
              <w:bottom w:w="28" w:type="dxa"/>
            </w:tcMar>
            <w:vAlign w:val="center"/>
          </w:tcPr>
          <w:p>
            <w:pPr>
              <w:pStyle w:val="TableContents"/>
              <w:bidi w:val="0"/>
              <w:spacing w:before="0" w:after="283"/>
              <w:jc w:val="right"/>
              <w:rPr/>
            </w:pPr>
            <w:r>
              <w:rPr/>
              <w:t>(121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12" w:space="0" w:color="000000"/>
            </w:tcBorders>
            <w:shd w:fill="CCEEFF" w:val="clear"/>
            <w:tcMar>
              <w:bottom w:w="28" w:type="dxa"/>
            </w:tcMar>
            <w:vAlign w:val="center"/>
          </w:tcPr>
          <w:p>
            <w:pPr>
              <w:pStyle w:val="TableContents"/>
              <w:bidi w:val="0"/>
              <w:spacing w:before="0" w:after="283"/>
              <w:jc w:val="right"/>
              <w:rPr/>
            </w:pPr>
            <w:r>
              <w:rPr/>
              <w:t>(83</w:t>
            </w:r>
          </w:p>
        </w:tc>
        <w:tc>
          <w:tcPr>
            <w:tcW w:w="111" w:type="dxa"/>
            <w:tcBorders/>
            <w:shd w:fill="CCEEFF" w:val="clear"/>
            <w:vAlign w:val="center"/>
          </w:tcPr>
          <w:p>
            <w:pPr>
              <w:pStyle w:val="TableContents"/>
              <w:bidi w:val="0"/>
              <w:spacing w:before="0" w:after="283"/>
              <w:jc w:val="left"/>
              <w:rPr/>
            </w:pPr>
            <w:r>
              <w:rPr/>
              <w:t>)</w:t>
            </w:r>
          </w:p>
        </w:tc>
      </w:tr>
      <w:tr>
        <w:trPr/>
        <w:tc>
          <w:tcPr>
            <w:tcW w:w="7762" w:type="dxa"/>
            <w:tcBorders/>
            <w:shd w:fill="FFFFFF" w:val="clear"/>
            <w:vAlign w:val="center"/>
          </w:tcPr>
          <w:p>
            <w:pPr>
              <w:pStyle w:val="TableContents"/>
              <w:bidi w:val="0"/>
              <w:spacing w:before="0" w:after="283"/>
              <w:jc w:val="left"/>
              <w:rPr>
                <w:b/>
              </w:rPr>
            </w:pPr>
            <w:r>
              <w:rPr>
                <w:b/>
              </w:rPr>
              <w:t>Balance - March 31, 2026</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3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5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4,068</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7 – Fair Value Measurements for additional information regarding the valuation of the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Shareholders’ Deficit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Authorized Share Capital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500,000,000 ordinary shares with a par value of €0.01 per share and 8,040 convertible preferred shares with a par value of €100 per share. Upon conversion of one or more of the convertible preferred shares into ordinary shares, the authorized share capital shall decrease with the number of convertible preferred shares so converted and shall increase with the number of ordinary shares into which such convertible preferred shares were converted.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Vesting Sponsor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549,500 ordinary shares were issued as vesting Sponsor shares. As of March 31, 2026, approximately 50% of these shares have vested, with the remaining shares subject to vesting conditions. The unvested shares are classified as a share-settled contingent liability in the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Preferred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8,000 convertible preferred shares that are mandatorily convertible into ordinary shares upon achievement of specified milestones. As of March 31, 2026, 4,000 shares have converted into ordinary shares, and the remaining 4,000 shares are outstanding and classified as share-settled contingent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SPAC Financial Advisor Preferred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40 convertible preferred shares to a financial advisor as share-based compensation. As of March 31, 2026, 20 shares have converted into ordinary shares and 20 remain outstanding. These awards are classified in equity and accounted for under ASC 718.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Warrants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8 – Warrants for additional information.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Commitments and Contingencies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Relations and Advisory Services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investor relations and advisory agreement under which it pays a fixed monthly fee, along with certain variable charges. The agreement remains in effect through April 30, 2026 and automatically renews unless terminated.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Markets Advisory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various capital markets advisory agreements with third-party service providers. These agreements include fixed fee commitments payable over contractual terms ranging from approximately one to two years. Certain agreements include customary termination and change-in-control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Engineering and Development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agreements with third-party vendors to support engineering, licensing, and development activities related to the SOLO project. Payments under these agreements are based on contractual milestones, time-based services, or invoiced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Advisor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 has an agreement with an independent contractor providing strategic advisory services. Compensation under the agreement includes potential equity-based awards and a commission on qualifying business opportunities. As of March 31, 2026, no equity awards have been granted under this arrangement.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5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On January 2, 2026, the Company entered into a lease for office space in Lucca, Italy, with a noncancelable term commencing April 1, 2026 and expiring March 31, 2032. The lease provides for annual base rent of approximately $88 (€75), subject to escalation.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Net Loss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a business combination on October 9, 2025, which was accounted for as a recapitalization. Accordingly, historical share information has been retroactively restated to reflect 47,500,000 ordinary shares for periods prior to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attributable to ordinary shareholders were calculated as follows (in thousands except share and per share amounts):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48"/>
        <w:gridCol w:w="60"/>
        <w:gridCol w:w="204"/>
        <w:gridCol w:w="1781"/>
        <w:gridCol w:w="138"/>
        <w:gridCol w:w="86"/>
        <w:gridCol w:w="204"/>
        <w:gridCol w:w="1606"/>
        <w:gridCol w:w="478"/>
      </w:tblGrid>
      <w:tr>
        <w:trPr/>
        <w:tc>
          <w:tcPr>
            <w:tcW w:w="56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1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478" w:type="dxa"/>
            <w:tcBorders/>
            <w:vAlign w:val="center"/>
          </w:tcPr>
          <w:p>
            <w:pPr>
              <w:pStyle w:val="TableContents"/>
              <w:bidi w:val="0"/>
              <w:spacing w:before="0" w:after="283"/>
              <w:jc w:val="left"/>
              <w:rPr/>
            </w:pPr>
            <w:r>
              <w:rPr/>
              <w:t> </w:t>
            </w:r>
          </w:p>
        </w:tc>
      </w:tr>
      <w:tr>
        <w:trPr/>
        <w:tc>
          <w:tcPr>
            <w:tcW w:w="56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8"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8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478" w:type="dxa"/>
            <w:tcBorders/>
            <w:vAlign w:val="center"/>
          </w:tcPr>
          <w:p>
            <w:pPr>
              <w:pStyle w:val="TableContents"/>
              <w:bidi w:val="0"/>
              <w:spacing w:before="0" w:after="283"/>
              <w:jc w:val="left"/>
              <w:rPr/>
            </w:pPr>
            <w:r>
              <w:rPr/>
              <w:t> </w:t>
            </w:r>
          </w:p>
        </w:tc>
      </w:tr>
      <w:tr>
        <w:trPr/>
        <w:tc>
          <w:tcPr>
            <w:tcW w:w="5648" w:type="dxa"/>
            <w:tcBorders/>
            <w:vAlign w:val="center"/>
          </w:tcPr>
          <w:p>
            <w:pPr>
              <w:pStyle w:val="TableContents"/>
              <w:bidi w:val="0"/>
              <w:spacing w:before="0" w:after="283"/>
              <w:jc w:val="left"/>
              <w:rPr>
                <w:b/>
              </w:rPr>
            </w:pPr>
            <w:r>
              <w:rPr>
                <w:b/>
              </w:rPr>
              <w:t>Numerator:</w:t>
            </w:r>
          </w:p>
        </w:tc>
        <w:tc>
          <w:tcPr>
            <w:tcW w:w="60" w:type="dxa"/>
            <w:tcBorders/>
            <w:vAlign w:val="center"/>
          </w:tcPr>
          <w:p>
            <w:pPr>
              <w:pStyle w:val="TableContents"/>
              <w:bidi w:val="0"/>
              <w:spacing w:before="0" w:after="283"/>
              <w:jc w:val="left"/>
              <w:rPr/>
            </w:pPr>
            <w:r>
              <w:rPr/>
              <w:t> </w:t>
            </w:r>
          </w:p>
        </w:tc>
        <w:tc>
          <w:tcPr>
            <w:tcW w:w="1985" w:type="dxa"/>
            <w:gridSpan w:val="2"/>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810" w:type="dxa"/>
            <w:gridSpan w:val="2"/>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ind w:left="0" w:right="0" w:firstLine="200"/>
              <w:jc w:val="left"/>
              <w:rPr/>
            </w:pPr>
            <w:r>
              <w:rPr/>
              <w:t> </w:t>
            </w:r>
          </w:p>
        </w:tc>
      </w:tr>
      <w:tr>
        <w:trPr/>
        <w:tc>
          <w:tcPr>
            <w:tcW w:w="5648"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781" w:type="dxa"/>
            <w:tcBorders/>
            <w:shd w:fill="CCEEFF" w:val="clear"/>
            <w:vAlign w:val="center"/>
          </w:tcPr>
          <w:p>
            <w:pPr>
              <w:pStyle w:val="TableContents"/>
              <w:bidi w:val="0"/>
              <w:spacing w:before="0" w:after="283"/>
              <w:jc w:val="right"/>
              <w:rPr/>
            </w:pPr>
            <w:r>
              <w:rPr/>
              <w:t>(7,106</w:t>
            </w:r>
          </w:p>
        </w:tc>
        <w:tc>
          <w:tcPr>
            <w:tcW w:w="138"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606" w:type="dxa"/>
            <w:tcBorders/>
            <w:shd w:fill="CCEEFF" w:val="clear"/>
            <w:vAlign w:val="center"/>
          </w:tcPr>
          <w:p>
            <w:pPr>
              <w:pStyle w:val="TableContents"/>
              <w:bidi w:val="0"/>
              <w:spacing w:before="0" w:after="283"/>
              <w:jc w:val="right"/>
              <w:rPr/>
            </w:pPr>
            <w:r>
              <w:rPr/>
              <w:t>(1,448</w:t>
            </w:r>
          </w:p>
        </w:tc>
        <w:tc>
          <w:tcPr>
            <w:tcW w:w="478" w:type="dxa"/>
            <w:tcBorders/>
            <w:shd w:fill="CCEEFF" w:val="clear"/>
            <w:vAlign w:val="center"/>
          </w:tcPr>
          <w:p>
            <w:pPr>
              <w:pStyle w:val="TableContents"/>
              <w:bidi w:val="0"/>
              <w:spacing w:before="0" w:after="283"/>
              <w:jc w:val="left"/>
              <w:rPr/>
            </w:pPr>
            <w:r>
              <w:rPr/>
              <w:t>)</w:t>
            </w:r>
          </w:p>
        </w:tc>
      </w:tr>
      <w:tr>
        <w:trPr/>
        <w:tc>
          <w:tcPr>
            <w:tcW w:w="5648"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781"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 </w:t>
            </w:r>
          </w:p>
        </w:tc>
        <w:tc>
          <w:tcPr>
            <w:tcW w:w="478" w:type="dxa"/>
            <w:tcBorders/>
            <w:shd w:fill="FFFFFF" w:val="clear"/>
            <w:vAlign w:val="center"/>
          </w:tcPr>
          <w:p>
            <w:pPr>
              <w:pStyle w:val="TableContents"/>
              <w:bidi w:val="0"/>
              <w:spacing w:before="0" w:after="283"/>
              <w:ind w:left="0" w:right="0" w:firstLine="200"/>
              <w:jc w:val="left"/>
              <w:rPr/>
            </w:pPr>
            <w:r>
              <w:rPr/>
              <w:t> </w:t>
            </w:r>
          </w:p>
        </w:tc>
      </w:tr>
      <w:tr>
        <w:trPr/>
        <w:tc>
          <w:tcPr>
            <w:tcW w:w="5648" w:type="dxa"/>
            <w:tcBorders/>
            <w:shd w:fill="CCEEFF" w:val="clear"/>
            <w:vAlign w:val="center"/>
          </w:tcPr>
          <w:p>
            <w:pPr>
              <w:pStyle w:val="TableContents"/>
              <w:bidi w:val="0"/>
              <w:spacing w:before="0" w:after="283"/>
              <w:jc w:val="left"/>
              <w:rPr/>
            </w:pPr>
            <w:r>
              <w:rPr/>
              <w:t>Weighted-average ordinary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81" w:type="dxa"/>
            <w:tcBorders>
              <w:bottom w:val="single" w:sz="12" w:space="0" w:color="000000"/>
            </w:tcBorders>
            <w:shd w:fill="CCEEFF" w:val="clear"/>
            <w:tcMar>
              <w:bottom w:w="28" w:type="dxa"/>
            </w:tcMar>
            <w:vAlign w:val="center"/>
          </w:tcPr>
          <w:p>
            <w:pPr>
              <w:pStyle w:val="TableContents"/>
              <w:bidi w:val="0"/>
              <w:spacing w:before="0" w:after="283"/>
              <w:jc w:val="right"/>
              <w:rPr/>
            </w:pPr>
            <w:r>
              <w:rPr/>
              <w:t>110,226,198</w:t>
            </w:r>
          </w:p>
        </w:tc>
        <w:tc>
          <w:tcPr>
            <w:tcW w:w="138"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06" w:type="dxa"/>
            <w:tcBorders>
              <w:bottom w:val="single" w:sz="12" w:space="0" w:color="000000"/>
            </w:tcBorders>
            <w:shd w:fill="CCEEFF" w:val="clear"/>
            <w:tcMar>
              <w:bottom w:w="28" w:type="dxa"/>
            </w:tcMar>
            <w:vAlign w:val="center"/>
          </w:tcPr>
          <w:p>
            <w:pPr>
              <w:pStyle w:val="TableContents"/>
              <w:bidi w:val="0"/>
              <w:spacing w:before="0" w:after="283"/>
              <w:jc w:val="right"/>
              <w:rPr/>
            </w:pPr>
            <w:r>
              <w:rPr/>
              <w:t>47,500,000</w:t>
            </w:r>
          </w:p>
        </w:tc>
        <w:tc>
          <w:tcPr>
            <w:tcW w:w="478" w:type="dxa"/>
            <w:tcBorders/>
            <w:shd w:fill="CCEEFF" w:val="clear"/>
            <w:vAlign w:val="center"/>
          </w:tcPr>
          <w:p>
            <w:pPr>
              <w:pStyle w:val="TableContents"/>
              <w:bidi w:val="0"/>
              <w:spacing w:before="0" w:after="283"/>
              <w:jc w:val="left"/>
              <w:rPr/>
            </w:pPr>
            <w:r>
              <w:rPr/>
              <w:t> </w:t>
            </w:r>
          </w:p>
        </w:tc>
      </w:tr>
      <w:tr>
        <w:trPr/>
        <w:tc>
          <w:tcPr>
            <w:tcW w:w="5648" w:type="dxa"/>
            <w:tcBorders/>
            <w:shd w:fill="FFFFFF" w:val="clear"/>
            <w:vAlign w:val="center"/>
          </w:tcPr>
          <w:p>
            <w:pPr>
              <w:pStyle w:val="TableContents"/>
              <w:bidi w:val="0"/>
              <w:spacing w:before="0" w:after="283"/>
              <w:jc w:val="left"/>
              <w:rPr>
                <w:b/>
              </w:rPr>
            </w:pPr>
            <w:r>
              <w:rPr>
                <w:b/>
              </w:rPr>
              <w:t>Net loss per share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781"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 </w:t>
            </w:r>
          </w:p>
        </w:tc>
        <w:tc>
          <w:tcPr>
            <w:tcW w:w="478" w:type="dxa"/>
            <w:tcBorders/>
            <w:shd w:fill="FFFFFF" w:val="clear"/>
            <w:vAlign w:val="center"/>
          </w:tcPr>
          <w:p>
            <w:pPr>
              <w:pStyle w:val="TableContents"/>
              <w:bidi w:val="0"/>
              <w:spacing w:before="0" w:after="283"/>
              <w:ind w:left="0" w:right="0" w:firstLine="400"/>
              <w:jc w:val="left"/>
              <w:rPr/>
            </w:pPr>
            <w:r>
              <w:rPr/>
              <w:t> </w:t>
            </w:r>
          </w:p>
        </w:tc>
      </w:tr>
      <w:tr>
        <w:trPr/>
        <w:tc>
          <w:tcPr>
            <w:tcW w:w="5648" w:type="dxa"/>
            <w:tcBorders/>
            <w:shd w:fill="CCEEFF" w:val="clear"/>
            <w:vAlign w:val="center"/>
          </w:tcPr>
          <w:p>
            <w:pPr>
              <w:pStyle w:val="TableContents"/>
              <w:bidi w:val="0"/>
              <w:spacing w:before="0" w:after="283"/>
              <w:jc w:val="left"/>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781" w:type="dxa"/>
            <w:tcBorders>
              <w:bottom w:val="double" w:sz="10" w:space="0" w:color="000000"/>
            </w:tcBorders>
            <w:shd w:fill="CCEEFF" w:val="clear"/>
            <w:tcMar>
              <w:bottom w:w="28" w:type="dxa"/>
            </w:tcMar>
            <w:vAlign w:val="center"/>
          </w:tcPr>
          <w:p>
            <w:pPr>
              <w:pStyle w:val="TableContents"/>
              <w:bidi w:val="0"/>
              <w:spacing w:before="0" w:after="283"/>
              <w:jc w:val="right"/>
              <w:rPr/>
            </w:pPr>
            <w:r>
              <w:rPr/>
              <w:t>(0.06</w:t>
            </w:r>
          </w:p>
        </w:tc>
        <w:tc>
          <w:tcPr>
            <w:tcW w:w="138" w:type="dxa"/>
            <w:tcBorders/>
            <w:shd w:fill="CCEEFF" w:val="clear"/>
            <w:vAlign w:val="center"/>
          </w:tcPr>
          <w:p>
            <w:pPr>
              <w:pStyle w:val="TableContents"/>
              <w:bidi w:val="0"/>
              <w:spacing w:before="0" w:after="283"/>
              <w:jc w:val="left"/>
              <w:rPr/>
            </w:pPr>
            <w:r>
              <w:rPr/>
              <w:t>)</w:t>
            </w:r>
          </w:p>
        </w:tc>
        <w:tc>
          <w:tcPr>
            <w:tcW w:w="86"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06" w:type="dxa"/>
            <w:tcBorders>
              <w:bottom w:val="double" w:sz="10" w:space="0" w:color="000000"/>
            </w:tcBorders>
            <w:shd w:fill="CCEEFF" w:val="clear"/>
            <w:tcMar>
              <w:bottom w:w="28" w:type="dxa"/>
            </w:tcMar>
            <w:vAlign w:val="center"/>
          </w:tcPr>
          <w:p>
            <w:pPr>
              <w:pStyle w:val="TableContents"/>
              <w:bidi w:val="0"/>
              <w:spacing w:before="0" w:after="283"/>
              <w:jc w:val="right"/>
              <w:rPr/>
            </w:pPr>
            <w:r>
              <w:rPr/>
              <w:t>(0.03</w:t>
            </w:r>
          </w:p>
        </w:tc>
        <w:tc>
          <w:tcPr>
            <w:tcW w:w="478"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no instruments were dilutive. Potential ordinary shares related to share-settled contingent liabilities, unvested Sponsor shares, and certain equity awards were excluded from diluted EPS as the applicable issuance or vesting conditions were not satisfied as of the reporting date.</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liability-classified PIPE and Bridge Warrants and equity-classified warrants were evaluated under the treasury stock method. For the three months ended March 31, 2026, the average market price of the Company’s ordinary shares was below the exercise prices of all outstanding warrants; accordingly, all such instruments were anti-dilutive and therefore excluded from diluted EPS.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anti-dilutive instruments represented approximately 5,475,591 potential ordinary shares as of March 31, 2026. As a result, diluted net loss per share equals basic net loss per share for the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Segment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development-stage nuclear energy technology company focused on the research, development, and future commercialization of its SOLO micro-modular nuclear reactor. The chief operating decision maker (“CODM”), consisting of the Company’s chief executive officer and founding officers acting collectively, reviews financial information on a consolidated basis for purposes of evaluating performance and allocating resources. The CODM does not review discrete financial information by product, function, or geographic location. As a result, the Company has determined that it operates as a single operating segment, which is also its sole reportable segment. The measure of segment profit or loss and segment assets is the same as that presented in the interim condensed consolidated financial statements. The CODM primarily uses consolidated general and administrative expenses and development costs to assess operating performance and liquidity. Because the Company operates as a single reportable segment, no reconciliation of segment information to consolidated results is required. The Company has not generated revenue from external customers, as its SOLO product remains under development.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the Company recognized no income tax benefit or expense on a pretax loss of $7,106, resulting in an effective tax rate of 0%. The Company maintained a full valuation allowance against its net deferred tax assets as of March 31, 2026, based on its determination that it is more likely than not that the Company’s net deferred tax assets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Subsequent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through June 30, 2026, the date the interim condensed consolidated financial statements were available to be issued, and determined that there have been no events that have occurred that would require adjustments to disclosures in the interim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provides information that Terra Innovatum Global N.V. management believes is relevant to an assessment and understanding of Terra Innovatum Global N.V.’s results of operations and financial condition. This discussion should be read together with Terra Innovatum Global N.V.’s unaudited interim condensed consolidated financial statements as of and for the three months ended March 31, 2026 and 2025, and the related notes included elsewhere in this Form 10-Q.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discussion may contain forward-looking statements based upon current expectations that involve risks and uncertainties. Terra Innovatum Global N.V.’s actual results may differ materially from those anticipated in these forward-looking statements as a result of various factors, including those set forth under “Risk Factors” or in other parts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Presentation of Financial Information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with the quarterly report on Form 10-Q for the three and nine months ended September 30, 2025, we have elected to present all dollar amounts rounded to the nearest thousand dollars, unless otherwise indicated. In prior periods, including those presented in the Form S-4 Amendment No. 5 filed on September 11, 2025, financial information was presented in whole dollars. This change has been made to enhance the readability and consistency of financial disclosures. As a result, certain prior period amounts may not be directly comparable due to rounding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pioneering nuclear energy technology company developing the SOLO</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Micro-Modular Nuclear Reactor (“</w:t>
      </w:r>
      <w:r>
        <w:rPr>
          <w:rFonts w:ascii="Times New Roman;Times;Serif" w:hAnsi="Times New Roman;Times;Serif"/>
          <w:b/>
          <w:i w:val="false"/>
          <w:caps w:val="false"/>
          <w:smallCaps w:val="false"/>
          <w:sz w:val="20"/>
        </w:rPr>
        <w:t>SOLO</w:t>
      </w:r>
      <w:r>
        <w:rPr>
          <w:rFonts w:ascii="Times New Roman;Times;Serif" w:hAnsi="Times New Roman;Times;Serif"/>
          <w:b w:val="false"/>
          <w:i w:val="false"/>
          <w:caps w:val="false"/>
          <w:smallCaps w:val="false"/>
          <w:sz w:val="20"/>
        </w:rPr>
        <w:t>”), a breakthrough solution designed to address critical challenges in affordable, clean, decentralized energy production. Our reactor represents a significant technological and engineering advancement, offering a compact, safe, and economically compelling alternative to traditional energy generation and supply solutions. The SOLO reactor’s core innovation lies in its ability to generate 1 MWe of electricity baseload with a continuous operational cycle of up to 15 years, extendable to 45 years through refueling, with a fixed and competitive projected levelized cost of energy. Our strategic roadmap targets commercial deployment by 2028, with a clear focus on delivering a scalable, modular nuclear solution that can be deployed across diverse geographies and markets — from industrial and infrastructure to remote and off-grid applications. Key differentiators include a gas-cooled design, multiple safety shutdown mechanisms, safeguard-by-design, small footprint, and the ability to use commercially available Low Enriched Uranium (“</w:t>
      </w:r>
      <w:r>
        <w:rPr>
          <w:rFonts w:ascii="Times New Roman;Times;Serif" w:hAnsi="Times New Roman;Times;Serif"/>
          <w:b/>
          <w:i w:val="false"/>
          <w:caps w:val="false"/>
          <w:smallCaps w:val="false"/>
          <w:sz w:val="20"/>
        </w:rPr>
        <w:t>LEU</w:t>
      </w:r>
      <w:r>
        <w:rPr>
          <w:rFonts w:ascii="Times New Roman;Times;Serif" w:hAnsi="Times New Roman;Times;Serif"/>
          <w:b w:val="false"/>
          <w:i w:val="false"/>
          <w:caps w:val="false"/>
          <w:smallCaps w:val="false"/>
          <w:sz w:val="20"/>
        </w:rPr>
        <w:t>”), which significantly reduces regulatory and technological barriers typical in nuclear energy development. We have made substantial progress in de-risking our First-of-a-Kind (“</w:t>
      </w:r>
      <w:r>
        <w:rPr>
          <w:rFonts w:ascii="Times New Roman;Times;Serif" w:hAnsi="Times New Roman;Times;Serif"/>
          <w:b/>
          <w:i w:val="false"/>
          <w:caps w:val="false"/>
          <w:smallCaps w:val="false"/>
          <w:sz w:val="20"/>
        </w:rPr>
        <w:t>FOAK</w:t>
      </w:r>
      <w:r>
        <w:rPr>
          <w:rFonts w:ascii="Times New Roman;Times;Serif" w:hAnsi="Times New Roman;Times;Serif"/>
          <w:b w:val="false"/>
          <w:i w:val="false"/>
          <w:caps w:val="false"/>
          <w:smallCaps w:val="false"/>
          <w:sz w:val="20"/>
        </w:rPr>
        <w:t>”) reactor, including initiating regulatory engagement with the U.S. Nuclear Regulatory Commission (“</w:t>
      </w:r>
      <w:r>
        <w:rPr>
          <w:rFonts w:ascii="Times New Roman;Times;Serif" w:hAnsi="Times New Roman;Times;Serif"/>
          <w:b/>
          <w:i w:val="false"/>
          <w:caps w:val="false"/>
          <w:smallCaps w:val="false"/>
          <w:sz w:val="20"/>
        </w:rPr>
        <w:t>NRC</w:t>
      </w:r>
      <w:r>
        <w:rPr>
          <w:rFonts w:ascii="Times New Roman;Times;Serif" w:hAnsi="Times New Roman;Times;Serif"/>
          <w:b w:val="false"/>
          <w:i w:val="false"/>
          <w:caps w:val="false"/>
          <w:smallCaps w:val="false"/>
          <w:sz w:val="20"/>
        </w:rPr>
        <w:t>”), and establishing a robust supply chain strategy. We have completed the reactor design sufficiently to support component fabrication and NRC licensing, validated key technological components, and are targeting licensing and deployment of the FOAK reactor by 2028.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2026, we entered into a lease for office space in Lucca, Italy, with a noncancelable term commencing April 1, 2026 and expiring March 31, 2032. The lease provides for annual base rent of approximately $88 (€75), subject to escalation.</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we reported a net loss of $7,106 and $1,448, respectively. Net cash used in operating activities was $3,856 for the three months ended March 31, 2026 compared to net cash used of $199 for the three months ended March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and Trends Affecting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following factors and trends may cause previously reported financial information not to be necessarily indicative of future operating results or future financial conditions: </w:t>
      </w:r>
    </w:p>
    <w:p>
      <w:pPr>
        <w:pStyle w:val="TextBody"/>
        <w:bidi w:val="0"/>
        <w:spacing w:before="0" w:after="0"/>
        <w:ind w:left="0" w:right="0" w:firstLine="36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170"/>
        <w:gridCol w:w="2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Product Development Plan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rollout of advanced nuclear reactors depends on securing regulatory approvals for its design, construction, and operation. Our regulatory engagement plan was submitted to the NRC, and the NRC is currently reviewing a number of safety related topics related to SOLO. Although our team has significant prior experience working with the NRC, we cannot control NRC’s review process and review periods may take longer than anticipated.</w:t>
      </w:r>
    </w:p>
    <w:p>
      <w:pPr>
        <w:pStyle w:val="TextBody"/>
        <w:bidi w:val="0"/>
        <w:spacing w:before="0" w:after="0"/>
        <w:ind w:left="0" w:right="0" w:firstLine="36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170"/>
        <w:gridCol w:w="2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Funding and Investment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financial resources. There can be no assurance that sufficient funding will be available to us to fund our operating expenses and to further develop our business. We anticipate that we will likely need to raise additional capital to fund our operations while we implement and execute our business plan. Our continued solvency is dependent upon our ability to obtain additional working capital to complete our reactor development, to successfully market our reactors and to achieve commerciality for our reactors. We have encountered and expect to continue to encounter risks and uncertainties frequently experienced by companies in rapidly evolving industries. Accordingly, we may be unable to prepare accurate internal financial forecasts or replace anticipated revenue that we do not receive as a result of delays, changed circumstances, or changed market conditions arising from these factors, and our results of operations in future reporting periods may be below the expectations of investors or analysts. </w:t>
      </w:r>
    </w:p>
    <w:p>
      <w:pPr>
        <w:pStyle w:val="TextBody"/>
        <w:bidi w:val="0"/>
        <w:spacing w:before="0" w:after="0"/>
        <w:ind w:left="0" w:right="0" w:firstLine="36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Macroeconomic Conditions and Global Market Dynamics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operates in a complex global environment with multiple interconnected economic factors that can significantly impact our technological development, regulatory trajectory, and potential market penetration. As a nuclear technology company with an international human capital strategy and multinational supply chain, we are sensitive to macroeconomic trends and risks.</w:t>
      </w:r>
    </w:p>
    <w:p>
      <w:pPr>
        <w:pStyle w:val="TextBody"/>
        <w:bidi w:val="0"/>
        <w:spacing w:before="0" w:after="0"/>
        <w:ind w:left="0" w:right="0" w:firstLine="360"/>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75"/>
        <w:gridCol w:w="170"/>
        <w:gridCol w:w="2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Global Supply Chain Dynamics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a strategic outsourced manufacturing approach for the SOLO project, leveraging international human resources and implementing an international manufacturing model for our FOAK reactor. This strategy exposes us to global supply chain vulnerabilities, including potential impacts from geopolitical tensions, trade agreements, tariffs, and manufacturing disruptions. Our current assembly preparation in Europe for reactor deployment in the U.S. introduces additional complexity in navigating international trade regulations, currency exchange risks, and logistical challenges.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partnering with specialized suppliers certified in nuclear engineering and precision manufacturing, we aim to avoid significant capital investments in manufacturing facilities and concentrate our resources on core competencies such as reactor design, technological innovation, and regulatory compliance. Our procurement strategy involves direct engagement with multiple suppliers for critical components, ensuring supply chain reliability and maintaining the flexibility to adapt our technology to evolving market and regulatory requirements.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170"/>
        <w:gridCol w:w="2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Inflation and Cost Pressures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Inflationary trends represent a risk to our development trajectory. Escalating costs in specialized manufacturing, regulatory compliance, technical talent acquisition, and raw material procurement could potentially erode our projected economic advantages.</w:t>
      </w:r>
    </w:p>
    <w:p>
      <w:pPr>
        <w:pStyle w:val="TextBody"/>
        <w:bidi w:val="0"/>
        <w:spacing w:before="0" w:after="0"/>
        <w:ind w:left="0" w:right="0" w:firstLine="36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170"/>
        <w:gridCol w:w="2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Energy Market Evolution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energy transition, driven by decarbonization efforts and increasing demand for reliable low-carbon baseload power, creates both opportunities and challenges. The explosive growth in data center energy requirements, particularly with artificial intelligence (“</w:t>
      </w:r>
      <w:r>
        <w:rPr>
          <w:rFonts w:ascii="Times New Roman;Times;Serif" w:hAnsi="Times New Roman;Times;Serif"/>
          <w:b/>
          <w:i w:val="false"/>
          <w:caps w:val="false"/>
          <w:smallCaps w:val="false"/>
          <w:sz w:val="20"/>
        </w:rPr>
        <w:t>AI</w:t>
      </w:r>
      <w:r>
        <w:rPr>
          <w:rFonts w:ascii="Times New Roman;Times;Serif" w:hAnsi="Times New Roman;Times;Serif"/>
          <w:b w:val="false"/>
          <w:i w:val="false"/>
          <w:caps w:val="false"/>
          <w:smallCaps w:val="false"/>
          <w:sz w:val="20"/>
        </w:rPr>
        <w:t>”) and computational infrastructure expansion, presents a promising market segment. However, economic growth cycles, shifts in energy policy, and potential slowdowns in technological adoption could materially affect our market positioning and revenue projections.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mitigate the AI-driven market concentration risks, we have strategically designed SOLO with multi-sector versatility, targeting a diverse range of energy-intensive industries including industrial manufacturing (cement, steel, mining, paper production), critical infrastructure services (airports, ports, logistics hubs), agricultural and food processing applications (greenhouses, vertical farming, food processing plants), energy storage (ammonia production, pink hydrogen) and essential utility services like desalination and water treatment. This intentional market diversification allows us to create resilience against sector-specific economic fluctuations, leveraging SOLO’s ability to provide both electricity and thermal energy across multiple high-demand sectors, including emerging opportunities in medical radioisotope production.</w:t>
      </w:r>
    </w:p>
    <w:p>
      <w:pPr>
        <w:pStyle w:val="TextBody"/>
        <w:bidi w:val="0"/>
        <w:spacing w:before="0" w:after="0"/>
        <w:ind w:left="0" w:right="0" w:firstLine="36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170"/>
        <w:gridCol w:w="3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Regulatory and Geopolitical Landscape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multinational operational model requires navigating complex regulatory environments across different jurisdictions. Changes in nuclear energy policies and geopolitical tensions could significantly impact our potential market access. The evolving global stance on nuclear energy, particularly small modular reactors, introduces both strategic opportunities and potential regulatory constraints.</w:t>
      </w:r>
    </w:p>
    <w:p>
      <w:pPr>
        <w:pStyle w:val="TextBody"/>
        <w:bidi w:val="0"/>
        <w:spacing w:before="0" w:after="0"/>
        <w:ind w:left="0" w:right="0" w:firstLine="36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Technological and Labor Market Dynamics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specialized nature of our technology demands access to a global pool of highly skilled technical talent. Potential labor market shifts, competition for specialized nuclear engineering expertise, and varying international education and training standards could influence our human resource strategy and technology development velocity.</w:t>
      </w:r>
    </w:p>
    <w:p>
      <w:pPr>
        <w:pStyle w:val="TextBody"/>
        <w:bidi w:val="0"/>
        <w:spacing w:before="0" w:after="0"/>
        <w:ind w:left="0" w:right="0" w:firstLine="36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170"/>
        <w:gridCol w:w="2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Economic Uncertainty Factors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uncertainties, including potential recessionary periods, fluctuations in investment trends in energy related technology, and broader economic growth patterns, could affect our funding capabilities, customer acquisition strategies, and overall business development trajectory.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and Smaller Reporting Company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Jumpstart Our Business Startups Act (“</w:t>
      </w:r>
      <w:r>
        <w:rPr>
          <w:rFonts w:ascii="Times New Roman;Times;Serif" w:hAnsi="Times New Roman;Times;Serif"/>
          <w:b/>
          <w:i w:val="false"/>
          <w:caps w:val="false"/>
          <w:smallCaps w:val="false"/>
          <w:sz w:val="20"/>
        </w:rPr>
        <w:t>JOBS Act</w:t>
      </w:r>
      <w:r>
        <w:rPr>
          <w:rFonts w:ascii="Times New Roman;Times;Serif" w:hAnsi="Times New Roman;Times;Serif"/>
          <w:b w:val="false"/>
          <w:i w:val="false"/>
          <w:caps w:val="false"/>
          <w:smallCaps w:val="false"/>
          <w:sz w:val="20"/>
        </w:rPr>
        <w: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Until we are no longer considered to be an emerging growth company, we have elected not to opt out of such extended transition period which means that when an accounting standard is issued or revised and it has different application dates for public or private companies, as an emerging growth company we can adopt the new or revised standard at the time private companies adopt the new or revised standard.</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Securities Exchange Act of 1934.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ordinary shares held by non-affiliates is $250,000 or more measured on the last business day of our second fiscal quarter, or our annual revenues are less than $100,000 during the most recently completed fiscal year and our voting and non-voting ordinary shares held by non-affiliates is $700,000 or more measured on the last business day of our second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development-stage nuclear energy technology company focused on the research, development, and future commercialization of our SOLO micro-modular nuclear reactor. Our chief operating decision maker (“</w:t>
      </w:r>
      <w:r>
        <w:rPr>
          <w:rFonts w:ascii="Times New Roman;Times;Serif" w:hAnsi="Times New Roman;Times;Serif"/>
          <w:b/>
          <w:i w:val="false"/>
          <w:caps w:val="false"/>
          <w:smallCaps w:val="false"/>
          <w:sz w:val="20"/>
        </w:rPr>
        <w:t>CODM</w:t>
      </w:r>
      <w:r>
        <w:rPr>
          <w:rFonts w:ascii="Times New Roman;Times;Serif" w:hAnsi="Times New Roman;Times;Serif"/>
          <w:b w:val="false"/>
          <w:i w:val="false"/>
          <w:caps w:val="false"/>
          <w:smallCaps w:val="false"/>
          <w:sz w:val="20"/>
        </w:rPr>
        <w:t>”), consisting of our chief executive officer and founding officers acting collectively, reviews financial information on a consolidated basis for purposes of evaluating performance and allocating resources. The CODM does not review discrete financial information by product, function, or geographic location. As a result, we have determined that we operate as a single operating segment, which is also our sole reportable segment. The measure of segment profit or loss and segment assets is the same as that presented in the interim condensed consolidated financial statements. The CODM primarily uses consolidated general and administrative expenses and development costs to assess operating performance and liquidity. We have not generated revenue from external customers, as our SOLO product remains under development.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period-to-period comparisons of our results of operations have been prepared using the historical periods included in our financial statements. The following discussion should be read in conjunction with the financial statements and related notes included elsewhere in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any revenue from product sales and do not expect to generate any revenue from the sale of products for the foreseeable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consist primarily of advisory fees, legal fees, audit, accounting, professional services fees, insurance, Board of Director compensation, development costs, transportation, food and lodging, conference and seminar registration fees, advertising, rental, filing fees, employee benefits, consultancy fees, representation expenses, commissions, and other miscellaneous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costs represent costs incurred to design and engineer SOLO. These costs include technical consulting and personnel-related expenses (such as salaries, employee benefits, and bonuses), software and computing costs, hardware and experimental supplies, and fees for outside engineering, analytical, and consulting services.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income, net primarily consists of foreign currency transaction gains and losses, as well as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share settled contingent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 share settled contingent liability consists of the change in fair value of certain issuances of Convertible 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warrant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 warrant liabilities consists of the change in fair value of certain PIPE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(or benefit) for income taxes consists of the expense or income related to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Three Months Ended March 31, 2026 Compared to the Three Months Ended March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for the periods indicated and the changes between periods:</w:t>
      </w:r>
    </w:p>
    <w:p>
      <w:pPr>
        <w:pStyle w:val="TextBody"/>
        <w:bidi w:val="0"/>
        <w:spacing w:before="0" w:after="0"/>
        <w:ind w:left="0" w:right="0" w:firstLine="36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3"/>
        <w:gridCol w:w="60"/>
        <w:gridCol w:w="261"/>
        <w:gridCol w:w="1189"/>
        <w:gridCol w:w="177"/>
        <w:gridCol w:w="112"/>
        <w:gridCol w:w="261"/>
        <w:gridCol w:w="1189"/>
        <w:gridCol w:w="95"/>
        <w:gridCol w:w="60"/>
        <w:gridCol w:w="204"/>
        <w:gridCol w:w="926"/>
        <w:gridCol w:w="95"/>
        <w:gridCol w:w="60"/>
        <w:gridCol w:w="120"/>
        <w:gridCol w:w="1130"/>
        <w:gridCol w:w="683"/>
      </w:tblGrid>
      <w:tr>
        <w:trPr/>
        <w:tc>
          <w:tcPr>
            <w:tcW w:w="3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r>
      <w:tr>
        <w:trPr/>
        <w:tc>
          <w:tcPr>
            <w:tcW w:w="3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77"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Variance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Variance</w:t>
            </w:r>
          </w:p>
        </w:tc>
        <w:tc>
          <w:tcPr>
            <w:tcW w:w="683" w:type="dxa"/>
            <w:tcBorders/>
            <w:vAlign w:val="center"/>
          </w:tcPr>
          <w:p>
            <w:pPr>
              <w:pStyle w:val="TableContents"/>
              <w:bidi w:val="0"/>
              <w:spacing w:before="0" w:after="283"/>
              <w:jc w:val="left"/>
              <w:rPr/>
            </w:pPr>
            <w:r>
              <w:rPr/>
              <w:t> </w:t>
            </w:r>
          </w:p>
        </w:tc>
      </w:tr>
      <w:tr>
        <w:trPr/>
        <w:tc>
          <w:tcPr>
            <w:tcW w:w="3583"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1450" w:type="dxa"/>
            <w:gridSpan w:val="2"/>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5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ind w:left="0" w:right="0" w:firstLine="180"/>
              <w:jc w:val="left"/>
              <w:rPr/>
            </w:pPr>
            <w:r>
              <w:rPr/>
              <w:t> </w:t>
            </w:r>
          </w:p>
        </w:tc>
      </w:tr>
      <w:tr>
        <w:trPr/>
        <w:tc>
          <w:tcPr>
            <w:tcW w:w="3583"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189" w:type="dxa"/>
            <w:tcBorders/>
            <w:shd w:fill="CCEEFF" w:val="clear"/>
            <w:vAlign w:val="center"/>
          </w:tcPr>
          <w:p>
            <w:pPr>
              <w:pStyle w:val="TableContents"/>
              <w:bidi w:val="0"/>
              <w:spacing w:before="0" w:after="283"/>
              <w:jc w:val="right"/>
              <w:rPr/>
            </w:pPr>
            <w:r>
              <w:rPr/>
              <w:t>5,396</w:t>
            </w:r>
          </w:p>
        </w:tc>
        <w:tc>
          <w:tcPr>
            <w:tcW w:w="17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189" w:type="dxa"/>
            <w:tcBorders/>
            <w:shd w:fill="CCEEFF" w:val="clear"/>
            <w:vAlign w:val="center"/>
          </w:tcPr>
          <w:p>
            <w:pPr>
              <w:pStyle w:val="TableContents"/>
              <w:bidi w:val="0"/>
              <w:spacing w:before="0" w:after="283"/>
              <w:jc w:val="right"/>
              <w:rPr/>
            </w:pPr>
            <w:r>
              <w:rPr/>
              <w:t>1,416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6" w:type="dxa"/>
            <w:tcBorders/>
            <w:shd w:fill="CCEEFF" w:val="clear"/>
            <w:vAlign w:val="center"/>
          </w:tcPr>
          <w:p>
            <w:pPr>
              <w:pStyle w:val="TableContents"/>
              <w:bidi w:val="0"/>
              <w:spacing w:before="0" w:after="283"/>
              <w:jc w:val="right"/>
              <w:rPr/>
            </w:pPr>
            <w:r>
              <w:rPr/>
              <w:t>3,980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281</w:t>
            </w:r>
          </w:p>
        </w:tc>
        <w:tc>
          <w:tcPr>
            <w:tcW w:w="683" w:type="dxa"/>
            <w:tcBorders/>
            <w:shd w:fill="CCEEFF" w:val="clear"/>
            <w:vAlign w:val="center"/>
          </w:tcPr>
          <w:p>
            <w:pPr>
              <w:pStyle w:val="TableContents"/>
              <w:bidi w:val="0"/>
              <w:spacing w:before="0" w:after="283"/>
              <w:ind w:left="0" w:right="0" w:firstLine="180"/>
              <w:jc w:val="left"/>
              <w:rPr/>
            </w:pPr>
            <w:r>
              <w:rPr/>
              <w:t>%</w:t>
            </w:r>
          </w:p>
        </w:tc>
      </w:tr>
      <w:tr>
        <w:trPr/>
        <w:tc>
          <w:tcPr>
            <w:tcW w:w="3583" w:type="dxa"/>
            <w:tcBorders/>
            <w:shd w:fill="FFFFFF" w:val="clear"/>
            <w:vAlign w:val="center"/>
          </w:tcPr>
          <w:p>
            <w:pPr>
              <w:pStyle w:val="TableContents"/>
              <w:bidi w:val="0"/>
              <w:spacing w:before="0" w:after="283"/>
              <w:jc w:val="left"/>
              <w:rPr/>
            </w:pPr>
            <w:r>
              <w:rPr/>
              <w:t>Development costs</w:t>
            </w:r>
          </w:p>
        </w:tc>
        <w:tc>
          <w:tcPr>
            <w:tcW w:w="60" w:type="dxa"/>
            <w:tcBorders/>
            <w:shd w:fill="FFFFFF" w:val="clear"/>
            <w:vAlign w:val="center"/>
          </w:tcPr>
          <w:p>
            <w:pPr>
              <w:pStyle w:val="TableContents"/>
              <w:bidi w:val="0"/>
              <w:spacing w:before="0" w:after="283"/>
              <w:jc w:val="left"/>
              <w:rPr/>
            </w:pPr>
            <w:r>
              <w:rPr/>
              <w:t> </w:t>
            </w:r>
          </w:p>
        </w:tc>
        <w:tc>
          <w:tcPr>
            <w:tcW w:w="2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FFFFFF" w:val="clear"/>
            <w:tcMar>
              <w:bottom w:w="28" w:type="dxa"/>
            </w:tcMar>
            <w:vAlign w:val="center"/>
          </w:tcPr>
          <w:p>
            <w:pPr>
              <w:pStyle w:val="TableContents"/>
              <w:bidi w:val="0"/>
              <w:spacing w:before="0" w:after="283"/>
              <w:jc w:val="right"/>
              <w:rPr/>
            </w:pPr>
            <w:r>
              <w:rPr/>
              <w:t>1,238</w:t>
            </w:r>
          </w:p>
        </w:tc>
        <w:tc>
          <w:tcPr>
            <w:tcW w:w="177"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FFFFFF" w:val="clear"/>
            <w:tcMar>
              <w:bottom w:w="28" w:type="dxa"/>
            </w:tcMar>
            <w:vAlign w:val="center"/>
          </w:tcPr>
          <w:p>
            <w:pPr>
              <w:pStyle w:val="TableContents"/>
              <w:bidi w:val="0"/>
              <w:spacing w:before="0" w:after="283"/>
              <w:jc w:val="right"/>
              <w:rPr/>
            </w:pPr>
            <w:r>
              <w:rPr/>
              <w:t>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FFFFFF" w:val="clear"/>
            <w:tcMar>
              <w:bottom w:w="28" w:type="dxa"/>
            </w:tcMar>
            <w:vAlign w:val="center"/>
          </w:tcPr>
          <w:p>
            <w:pPr>
              <w:pStyle w:val="TableContents"/>
              <w:bidi w:val="0"/>
              <w:spacing w:before="0" w:after="283"/>
              <w:jc w:val="right"/>
              <w:rPr/>
            </w:pPr>
            <w:r>
              <w:rPr/>
              <w:t>1,205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3,652</w:t>
            </w:r>
          </w:p>
        </w:tc>
        <w:tc>
          <w:tcPr>
            <w:tcW w:w="683" w:type="dxa"/>
            <w:tcBorders/>
            <w:shd w:fill="FFFFFF" w:val="clear"/>
            <w:vAlign w:val="center"/>
          </w:tcPr>
          <w:p>
            <w:pPr>
              <w:pStyle w:val="TableContents"/>
              <w:bidi w:val="0"/>
              <w:spacing w:before="0" w:after="283"/>
              <w:ind w:left="0" w:right="0" w:firstLine="360"/>
              <w:jc w:val="left"/>
              <w:rPr/>
            </w:pPr>
            <w:r>
              <w:rPr/>
              <w:t>%</w:t>
            </w:r>
          </w:p>
        </w:tc>
      </w:tr>
      <w:tr>
        <w:trPr/>
        <w:tc>
          <w:tcPr>
            <w:tcW w:w="3583"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6,634</w:t>
            </w:r>
          </w:p>
        </w:tc>
        <w:tc>
          <w:tcPr>
            <w:tcW w:w="17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358</w:t>
            </w:r>
          </w:p>
        </w:tc>
        <w:tc>
          <w:tcPr>
            <w:tcW w:w="683" w:type="dxa"/>
            <w:tcBorders/>
            <w:shd w:fill="CCEEFF" w:val="clear"/>
            <w:vAlign w:val="center"/>
          </w:tcPr>
          <w:p>
            <w:pPr>
              <w:pStyle w:val="TableContents"/>
              <w:bidi w:val="0"/>
              <w:spacing w:before="0" w:after="283"/>
              <w:ind w:left="0" w:right="0" w:firstLine="360"/>
              <w:jc w:val="left"/>
              <w:rPr>
                <w:b/>
              </w:rPr>
            </w:pPr>
            <w:r>
              <w:rPr>
                <w:b/>
              </w:rPr>
              <w:t>%</w:t>
            </w:r>
          </w:p>
        </w:tc>
      </w:tr>
      <w:tr>
        <w:trPr/>
        <w:tc>
          <w:tcPr>
            <w:tcW w:w="3583"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2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(6,634</w:t>
            </w:r>
          </w:p>
        </w:tc>
        <w:tc>
          <w:tcPr>
            <w:tcW w:w="177" w:type="dxa"/>
            <w:tcBorders/>
            <w:shd w:fill="FFFFFF" w:val="clear"/>
            <w:vAlign w:val="center"/>
          </w:tcPr>
          <w:p>
            <w:pPr>
              <w:pStyle w:val="TableContents"/>
              <w:bidi w:val="0"/>
              <w:spacing w:before="0" w:after="283"/>
              <w:jc w:val="left"/>
              <w:rPr>
                <w:b/>
              </w:rPr>
            </w:pPr>
            <w:r>
              <w:rPr>
                <w:b/>
              </w:rPr>
              <w:t>)</w:t>
            </w:r>
          </w:p>
        </w:tc>
        <w:tc>
          <w:tcPr>
            <w:tcW w:w="112" w:type="dxa"/>
            <w:tcBorders/>
            <w:shd w:fill="FFFFFF" w:val="clear"/>
            <w:vAlign w:val="center"/>
          </w:tcPr>
          <w:p>
            <w:pPr>
              <w:pStyle w:val="TableContents"/>
              <w:bidi w:val="0"/>
              <w:spacing w:before="0" w:after="283"/>
              <w:jc w:val="left"/>
              <w:rPr/>
            </w:pPr>
            <w:r>
              <w:rPr/>
              <w:t> </w:t>
            </w:r>
          </w:p>
        </w:tc>
        <w:tc>
          <w:tcPr>
            <w:tcW w:w="2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(1,449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358</w:t>
            </w:r>
          </w:p>
        </w:tc>
        <w:tc>
          <w:tcPr>
            <w:tcW w:w="683" w:type="dxa"/>
            <w:tcBorders/>
            <w:shd w:fill="FFFFFF" w:val="clear"/>
            <w:vAlign w:val="center"/>
          </w:tcPr>
          <w:p>
            <w:pPr>
              <w:pStyle w:val="TableContents"/>
              <w:bidi w:val="0"/>
              <w:spacing w:before="0" w:after="283"/>
              <w:jc w:val="left"/>
              <w:rPr>
                <w:b/>
              </w:rPr>
            </w:pPr>
            <w:r>
              <w:rPr>
                <w:b/>
              </w:rPr>
              <w:t>%</w:t>
            </w:r>
          </w:p>
        </w:tc>
      </w:tr>
      <w:tr>
        <w:trPr/>
        <w:tc>
          <w:tcPr>
            <w:tcW w:w="35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683" w:type="dxa"/>
            <w:tcBorders/>
            <w:shd w:fill="CCEEFF" w:val="clear"/>
            <w:vAlign w:val="center"/>
          </w:tcPr>
          <w:p>
            <w:pPr>
              <w:pStyle w:val="TableContents"/>
              <w:bidi w:val="0"/>
              <w:spacing w:before="0" w:after="283"/>
              <w:jc w:val="left"/>
              <w:rPr/>
            </w:pPr>
            <w:r>
              <w:rPr/>
              <w:t> </w:t>
            </w:r>
          </w:p>
        </w:tc>
      </w:tr>
      <w:tr>
        <w:trPr/>
        <w:tc>
          <w:tcPr>
            <w:tcW w:w="3583" w:type="dxa"/>
            <w:tcBorders/>
            <w:shd w:fill="FFFFFF" w:val="clear"/>
            <w:vAlign w:val="center"/>
          </w:tcPr>
          <w:p>
            <w:pPr>
              <w:pStyle w:val="TableContents"/>
              <w:bidi w:val="0"/>
              <w:spacing w:before="0" w:after="283"/>
              <w:jc w:val="left"/>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683" w:type="dxa"/>
            <w:tcBorders/>
            <w:shd w:fill="FFFFFF" w:val="clear"/>
            <w:vAlign w:val="center"/>
          </w:tcPr>
          <w:p>
            <w:pPr>
              <w:pStyle w:val="TableContents"/>
              <w:bidi w:val="0"/>
              <w:spacing w:before="0" w:after="283"/>
              <w:ind w:left="0" w:right="0" w:firstLine="180"/>
              <w:jc w:val="left"/>
              <w:rPr/>
            </w:pPr>
            <w:r>
              <w:rPr/>
              <w:t> </w:t>
            </w:r>
          </w:p>
        </w:tc>
      </w:tr>
      <w:tr>
        <w:trPr/>
        <w:tc>
          <w:tcPr>
            <w:tcW w:w="3583"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2,780</w:t>
            </w:r>
          </w:p>
        </w:tc>
        <w:tc>
          <w:tcPr>
            <w:tcW w:w="17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2,779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683" w:type="dxa"/>
            <w:tcBorders/>
            <w:shd w:fill="CCEEFF" w:val="clear"/>
            <w:vAlign w:val="center"/>
          </w:tcPr>
          <w:p>
            <w:pPr>
              <w:pStyle w:val="TableContents"/>
              <w:bidi w:val="0"/>
              <w:spacing w:before="0" w:after="283"/>
              <w:ind w:left="0" w:right="0" w:firstLine="180"/>
              <w:jc w:val="left"/>
              <w:rPr/>
            </w:pPr>
            <w:r>
              <w:rPr/>
              <w:t> </w:t>
            </w:r>
          </w:p>
        </w:tc>
      </w:tr>
      <w:tr>
        <w:trPr/>
        <w:tc>
          <w:tcPr>
            <w:tcW w:w="3583" w:type="dxa"/>
            <w:tcBorders/>
            <w:shd w:fill="FFFFFF" w:val="clear"/>
            <w:vAlign w:val="center"/>
          </w:tcPr>
          <w:p>
            <w:pPr>
              <w:pStyle w:val="TableContents"/>
              <w:bidi w:val="0"/>
              <w:spacing w:before="0" w:after="283"/>
              <w:jc w:val="left"/>
              <w:rPr/>
            </w:pPr>
            <w:r>
              <w:rPr/>
              <w:t>Change in fair value - share settled contingent liability</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(3,335</w:t>
            </w:r>
          </w:p>
        </w:tc>
        <w:tc>
          <w:tcPr>
            <w:tcW w:w="177" w:type="dxa"/>
            <w:tcBorders/>
            <w:shd w:fill="FFFFFF" w:val="clear"/>
            <w:vAlign w:val="center"/>
          </w:tcPr>
          <w:p>
            <w:pPr>
              <w:pStyle w:val="TableContents"/>
              <w:bidi w:val="0"/>
              <w:spacing w:before="0" w:after="283"/>
              <w:jc w:val="left"/>
              <w:rPr/>
            </w:pPr>
            <w:r>
              <w:rPr/>
              <w:t>)</w:t>
            </w:r>
          </w:p>
        </w:tc>
        <w:tc>
          <w:tcPr>
            <w:tcW w:w="112"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(3,335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683" w:type="dxa"/>
            <w:tcBorders/>
            <w:shd w:fill="FFFFFF" w:val="clear"/>
            <w:vAlign w:val="center"/>
          </w:tcPr>
          <w:p>
            <w:pPr>
              <w:pStyle w:val="TableContents"/>
              <w:bidi w:val="0"/>
              <w:spacing w:before="0" w:after="283"/>
              <w:ind w:left="0" w:right="0" w:firstLine="180"/>
              <w:jc w:val="left"/>
              <w:rPr/>
            </w:pPr>
            <w:r>
              <w:rPr/>
              <w:t> </w:t>
            </w:r>
          </w:p>
        </w:tc>
      </w:tr>
      <w:tr>
        <w:trPr/>
        <w:tc>
          <w:tcPr>
            <w:tcW w:w="3583" w:type="dxa"/>
            <w:tcBorders/>
            <w:shd w:fill="CCEEFF" w:val="clear"/>
            <w:vAlign w:val="center"/>
          </w:tcPr>
          <w:p>
            <w:pPr>
              <w:pStyle w:val="TableContents"/>
              <w:bidi w:val="0"/>
              <w:spacing w:before="0" w:after="283"/>
              <w:jc w:val="left"/>
              <w:rPr/>
            </w:pPr>
            <w:r>
              <w:rPr/>
              <w:t>Change in fair value - warrant liabilities</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CCEEFF" w:val="clear"/>
            <w:tcMar>
              <w:bottom w:w="28" w:type="dxa"/>
            </w:tcMar>
            <w:vAlign w:val="center"/>
          </w:tcPr>
          <w:p>
            <w:pPr>
              <w:pStyle w:val="TableContents"/>
              <w:bidi w:val="0"/>
              <w:spacing w:before="0" w:after="283"/>
              <w:jc w:val="right"/>
              <w:rPr/>
            </w:pPr>
            <w:r>
              <w:rPr/>
              <w:t>83</w:t>
            </w:r>
          </w:p>
        </w:tc>
        <w:tc>
          <w:tcPr>
            <w:tcW w:w="17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pPr>
            <w:r>
              <w:rPr/>
              <w:t>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683" w:type="dxa"/>
            <w:tcBorders/>
            <w:shd w:fill="CCEEFF" w:val="clear"/>
            <w:vAlign w:val="center"/>
          </w:tcPr>
          <w:p>
            <w:pPr>
              <w:pStyle w:val="TableContents"/>
              <w:bidi w:val="0"/>
              <w:spacing w:before="0" w:after="283"/>
              <w:ind w:left="0" w:right="0" w:firstLine="360"/>
              <w:jc w:val="left"/>
              <w:rPr/>
            </w:pPr>
            <w:r>
              <w:rPr/>
              <w:t> </w:t>
            </w:r>
          </w:p>
        </w:tc>
      </w:tr>
      <w:tr>
        <w:trPr/>
        <w:tc>
          <w:tcPr>
            <w:tcW w:w="3583" w:type="dxa"/>
            <w:tcBorders/>
            <w:shd w:fill="FFFFFF" w:val="clear"/>
            <w:vAlign w:val="center"/>
          </w:tcPr>
          <w:p>
            <w:pPr>
              <w:pStyle w:val="TableContents"/>
              <w:bidi w:val="0"/>
              <w:spacing w:before="0" w:after="283"/>
              <w:jc w:val="left"/>
              <w:rPr>
                <w:b/>
              </w:rPr>
            </w:pPr>
            <w:r>
              <w:rPr>
                <w:b/>
              </w:rPr>
              <w:t>Total other (expense) income, net</w:t>
            </w:r>
          </w:p>
        </w:tc>
        <w:tc>
          <w:tcPr>
            <w:tcW w:w="60" w:type="dxa"/>
            <w:tcBorders/>
            <w:shd w:fill="FFFFFF" w:val="clear"/>
            <w:vAlign w:val="center"/>
          </w:tcPr>
          <w:p>
            <w:pPr>
              <w:pStyle w:val="TableContents"/>
              <w:bidi w:val="0"/>
              <w:spacing w:before="0" w:after="283"/>
              <w:jc w:val="left"/>
              <w:rPr/>
            </w:pPr>
            <w:r>
              <w:rPr/>
              <w:t> </w:t>
            </w:r>
          </w:p>
        </w:tc>
        <w:tc>
          <w:tcPr>
            <w:tcW w:w="2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(472</w:t>
            </w:r>
          </w:p>
        </w:tc>
        <w:tc>
          <w:tcPr>
            <w:tcW w:w="177" w:type="dxa"/>
            <w:tcBorders/>
            <w:shd w:fill="FFFFFF" w:val="clear"/>
            <w:vAlign w:val="center"/>
          </w:tcPr>
          <w:p>
            <w:pPr>
              <w:pStyle w:val="TableContents"/>
              <w:bidi w:val="0"/>
              <w:spacing w:before="0" w:after="283"/>
              <w:jc w:val="left"/>
              <w:rPr>
                <w:b/>
              </w:rPr>
            </w:pPr>
            <w:r>
              <w:rPr>
                <w:b/>
              </w:rPr>
              <w:t>)</w:t>
            </w:r>
          </w:p>
        </w:tc>
        <w:tc>
          <w:tcPr>
            <w:tcW w:w="112" w:type="dxa"/>
            <w:tcBorders/>
            <w:shd w:fill="FFFFFF" w:val="clear"/>
            <w:vAlign w:val="center"/>
          </w:tcPr>
          <w:p>
            <w:pPr>
              <w:pStyle w:val="TableContents"/>
              <w:bidi w:val="0"/>
              <w:spacing w:before="0" w:after="283"/>
              <w:jc w:val="left"/>
              <w:rPr/>
            </w:pPr>
            <w:r>
              <w:rPr/>
              <w:t> </w:t>
            </w:r>
          </w:p>
        </w:tc>
        <w:tc>
          <w:tcPr>
            <w:tcW w:w="2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(473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NM</w:t>
            </w:r>
          </w:p>
        </w:tc>
        <w:tc>
          <w:tcPr>
            <w:tcW w:w="683" w:type="dxa"/>
            <w:tcBorders/>
            <w:shd w:fill="FFFFFF" w:val="clear"/>
            <w:vAlign w:val="center"/>
          </w:tcPr>
          <w:p>
            <w:pPr>
              <w:pStyle w:val="TableContents"/>
              <w:bidi w:val="0"/>
              <w:spacing w:before="0" w:after="283"/>
              <w:ind w:left="0" w:right="0" w:firstLine="360"/>
              <w:jc w:val="left"/>
              <w:rPr/>
            </w:pPr>
            <w:r>
              <w:rPr/>
              <w:t> </w:t>
            </w:r>
          </w:p>
        </w:tc>
      </w:tr>
      <w:tr>
        <w:trPr/>
        <w:tc>
          <w:tcPr>
            <w:tcW w:w="3583" w:type="dxa"/>
            <w:tcBorders/>
            <w:shd w:fill="CCEEFF" w:val="clear"/>
            <w:vAlign w:val="center"/>
          </w:tcPr>
          <w:p>
            <w:pPr>
              <w:pStyle w:val="TableContents"/>
              <w:bidi w:val="0"/>
              <w:spacing w:before="0" w:after="283"/>
              <w:jc w:val="left"/>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(7,106</w:t>
            </w:r>
          </w:p>
        </w:tc>
        <w:tc>
          <w:tcPr>
            <w:tcW w:w="177" w:type="dxa"/>
            <w:tcBorders/>
            <w:shd w:fill="CCEEFF" w:val="clear"/>
            <w:vAlign w:val="center"/>
          </w:tcPr>
          <w:p>
            <w:pPr>
              <w:pStyle w:val="TableContents"/>
              <w:bidi w:val="0"/>
              <w:spacing w:before="0" w:after="283"/>
              <w:jc w:val="left"/>
              <w:rPr>
                <w:b/>
              </w:rPr>
            </w:pPr>
            <w:r>
              <w:rPr>
                <w:b/>
              </w:rPr>
              <w:t>)</w:t>
            </w:r>
          </w:p>
        </w:tc>
        <w:tc>
          <w:tcPr>
            <w:tcW w:w="112"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(5,658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(391</w:t>
            </w:r>
          </w:p>
        </w:tc>
        <w:tc>
          <w:tcPr>
            <w:tcW w:w="683" w:type="dxa"/>
            <w:tcBorders/>
            <w:shd w:fill="CCEEFF" w:val="clear"/>
            <w:vAlign w:val="center"/>
          </w:tcPr>
          <w:p>
            <w:pPr>
              <w:pStyle w:val="TableContents"/>
              <w:bidi w:val="0"/>
              <w:spacing w:before="0" w:after="283"/>
              <w:ind w:left="0" w:right="0" w:firstLine="360"/>
              <w:jc w:val="left"/>
              <w:rPr>
                <w:b/>
              </w:rPr>
            </w:pPr>
            <w:r>
              <w:rPr>
                <w:b/>
              </w:rPr>
              <w:t>)%</w:t>
            </w:r>
          </w:p>
        </w:tc>
      </w:tr>
      <w:tr>
        <w:trPr/>
        <w:tc>
          <w:tcPr>
            <w:tcW w:w="3583"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2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77"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0</w:t>
            </w:r>
          </w:p>
        </w:tc>
        <w:tc>
          <w:tcPr>
            <w:tcW w:w="683" w:type="dxa"/>
            <w:tcBorders/>
            <w:shd w:fill="FFFFFF" w:val="clear"/>
            <w:vAlign w:val="center"/>
          </w:tcPr>
          <w:p>
            <w:pPr>
              <w:pStyle w:val="TableContents"/>
              <w:bidi w:val="0"/>
              <w:spacing w:before="0" w:after="283"/>
              <w:jc w:val="left"/>
              <w:rPr/>
            </w:pPr>
            <w:r>
              <w:rPr/>
              <w:t>%</w:t>
            </w:r>
          </w:p>
        </w:tc>
      </w:tr>
      <w:tr>
        <w:trPr/>
        <w:tc>
          <w:tcPr>
            <w:tcW w:w="3583"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26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8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(7,106</w:t>
            </w:r>
          </w:p>
        </w:tc>
        <w:tc>
          <w:tcPr>
            <w:tcW w:w="177" w:type="dxa"/>
            <w:tcBorders/>
            <w:shd w:fill="CCEEFF" w:val="clear"/>
            <w:vAlign w:val="center"/>
          </w:tcPr>
          <w:p>
            <w:pPr>
              <w:pStyle w:val="TableContents"/>
              <w:bidi w:val="0"/>
              <w:spacing w:before="0" w:after="283"/>
              <w:jc w:val="left"/>
              <w:rPr>
                <w:b/>
              </w:rPr>
            </w:pPr>
            <w:r>
              <w:rPr>
                <w:b/>
              </w:rPr>
              <w:t>)</w:t>
            </w:r>
          </w:p>
        </w:tc>
        <w:tc>
          <w:tcPr>
            <w:tcW w:w="112" w:type="dxa"/>
            <w:tcBorders/>
            <w:shd w:fill="CCEEFF" w:val="clear"/>
            <w:vAlign w:val="center"/>
          </w:tcPr>
          <w:p>
            <w:pPr>
              <w:pStyle w:val="TableContents"/>
              <w:bidi w:val="0"/>
              <w:spacing w:before="0" w:after="283"/>
              <w:jc w:val="left"/>
              <w:rPr/>
            </w:pPr>
            <w:r>
              <w:rPr/>
              <w:t> </w:t>
            </w:r>
          </w:p>
        </w:tc>
        <w:tc>
          <w:tcPr>
            <w:tcW w:w="26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8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(5,658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(391</w:t>
            </w:r>
          </w:p>
        </w:tc>
        <w:tc>
          <w:tcPr>
            <w:tcW w:w="683"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NM – not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$3,980 for the three months ended March 31, 2026 compared to the same period in 2025 primarily due to increases of (i) $2,359 for compensation to third parties, (ii) $644 for insurance, (iii) $458 for Board of Director compensation, (iv) $144 for development costs, (v) $125 for transportation, (vi) $69 for food and lodging, (vii) $51 for conference and seminar registration fees, (viii) $33 for advertising, (ix) $31 for professional fees, (x) $23 for rental, and (xi) $21 for filing fees. The remaining $22 net change is primarily driven by employee benefits, consultancy fees, representation expenses, commissions, and other miscellaneous expenses.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additional general and administrative expenses as a result of operating as a public company, including expenses related to compliance with the rules and regulations of the SEC and Nasdaq Stock Market, additional insurance costs, investor relations activities and other administrative and professional services. As a result, we expect general and administrative expenses to increase in absolute dollars in future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costs increased by $1,205 for the three months ended March 31, 2026 compared to the same period in 2025 primarily due to increases of (i) $1,059 in technical consultancy fees, (ii) $68 in salaries and wages, (iii) $53 in other payroll and benefits, and (iv) $24 in employee income tax withholding. The remaining $1 increase is primarily driven by travel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was $2,780 for the three months ended March 31, 2026, which primarily consists of $2,168 of net foreign currency gains and $612 of interest income. Other income, net was $1 for the three months ended March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share settled contingent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 $3,335 unrealized loss in fair value attributable to the change in fair value of the share settled contingent liability for the three months ended March 31, 2026. There was no share settled contingent liability during the same period in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 warrant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$83 unrealized gain in fair value attributable to warrant liabilities for the three months ended March 31, 2026 consists of the change in fair value of certain PIPE warrants. There was no warrant liability during the same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was $0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three months ended March 31, 2026 was $7,106 compared to $1,448 for the three months ended March 31, 2025. The $5,658 net change was primarily due to the $5,185 increase in operating expenses and $3,335 change in fair value of the share settled contingent liability. These increases were partially offset by increases of $2,779 in other income, net and $83 in fair value of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represents our ability to generate sufficient cash to support ongoing operations, meet obligations, and fund future growth. Since inception, we have financed our activities primarily through capital contributions, as we have not yet generated revenue from our core operations. We do not expect to generate meaningful revenue unless and until we complete development, obtain regulatory licenses, and enter the commercialization phase of the SOLO, which we do not anticipate before 2028. Accordingly, we are dependent on our existing cash resources to fund operations while we advance toward commercialization. In the short term, our liquidity is supported by the proceeds received upon closing the Business Combination on October 9, 2025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which, together with the related PIPE financing, generated net proceeds of approximately $106,713. At Closing, all outstanding Bridge Loans converted into 851,483 ordinary shares at a price of $7.00 per share, eliminating near-term debt service commitments. We expect to outsource manufacturing activities, which reduces near-term capital expenditure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cash of $96,701 and an accumulated deficit of approximately $614,382. Net cash used in operating activities was $3,856 for the three months ended March 31, 2026. We have historically incurred recurring operating losses and generated negative cash flows from operations.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and pursue potential liquidity-enhancing actions, which may include equity or debt financing, strategic transactions, or other funding arrangements; however, no definitive agreements are currently in place. Until sufficient funding is obtained or obligations are otherwise satisfied, we may be required to limit discretionary spending and defer or scale back certain planned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are cash on hand, and our primary uses of liquidity are operating expenses and licensing activities. We continue to actively monitor our liquidity position and may seek additional financing, including future equity offerings, strategic arrangements, or other capital-raising transactions, to support our long-term development and commercialization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detailed information about our net cash flows for the three months ended March 31, 2026 and 2025:</w:t>
      </w:r>
    </w:p>
    <w:p>
      <w:pPr>
        <w:pStyle w:val="TextBody"/>
        <w:bidi w:val="0"/>
        <w:spacing w:before="0" w:after="0"/>
        <w:ind w:left="0" w:right="0" w:firstLine="360"/>
        <w:jc w:val="center"/>
        <w:rPr>
          <w:caps w:val="false"/>
          <w:smallCaps w:val="false"/>
        </w:rPr>
      </w:pPr>
      <w:r>
        <w:rPr>
          <w:caps w:val="false"/>
          <w:smallCaps w:val="false"/>
        </w:rPr>
        <w:t> </w:t>
      </w:r>
    </w:p>
    <w:tbl>
      <w:tblPr>
        <w:tblW w:w="6686" w:type="dxa"/>
        <w:jc w:val="left"/>
        <w:tblInd w:w="0" w:type="dxa"/>
        <w:tblLayout w:type="fixed"/>
        <w:tblCellMar>
          <w:top w:w="0" w:type="dxa"/>
          <w:left w:w="0" w:type="dxa"/>
          <w:bottom w:w="0" w:type="dxa"/>
          <w:right w:w="0" w:type="dxa"/>
        </w:tblCellMar>
      </w:tblPr>
      <w:tblGrid>
        <w:gridCol w:w="3200"/>
        <w:gridCol w:w="60"/>
        <w:gridCol w:w="304"/>
        <w:gridCol w:w="1382"/>
        <w:gridCol w:w="206"/>
        <w:gridCol w:w="130"/>
        <w:gridCol w:w="304"/>
        <w:gridCol w:w="990"/>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06"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b/>
              </w:rPr>
            </w:pPr>
            <w:r>
              <w:rPr>
                <w:b/>
              </w:rPr>
              <w:t>Net cash provided by (used in):</w:t>
            </w:r>
          </w:p>
        </w:tc>
        <w:tc>
          <w:tcPr>
            <w:tcW w:w="60" w:type="dxa"/>
            <w:tcBorders/>
            <w:vAlign w:val="center"/>
          </w:tcPr>
          <w:p>
            <w:pPr>
              <w:pStyle w:val="TableContents"/>
              <w:bidi w:val="0"/>
              <w:spacing w:before="0" w:after="283"/>
              <w:jc w:val="left"/>
              <w:rPr/>
            </w:pPr>
            <w:r>
              <w:rPr/>
              <w:t> </w:t>
            </w:r>
          </w:p>
        </w:tc>
        <w:tc>
          <w:tcPr>
            <w:tcW w:w="1686" w:type="dxa"/>
            <w:gridSpan w:val="2"/>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1382" w:type="dxa"/>
            <w:tcBorders/>
            <w:shd w:fill="CCEEFF" w:val="clear"/>
            <w:vAlign w:val="center"/>
          </w:tcPr>
          <w:p>
            <w:pPr>
              <w:pStyle w:val="TableContents"/>
              <w:bidi w:val="0"/>
              <w:spacing w:before="0" w:after="283"/>
              <w:jc w:val="right"/>
              <w:rPr/>
            </w:pPr>
            <w:r>
              <w:rPr/>
              <w:t>(3,856</w:t>
            </w:r>
          </w:p>
        </w:tc>
        <w:tc>
          <w:tcPr>
            <w:tcW w:w="206" w:type="dxa"/>
            <w:tcBorders/>
            <w:shd w:fill="CCEEFF" w:val="clear"/>
            <w:vAlign w:val="center"/>
          </w:tcPr>
          <w:p>
            <w:pPr>
              <w:pStyle w:val="TableContents"/>
              <w:bidi w:val="0"/>
              <w:spacing w:before="0" w:after="283"/>
              <w:jc w:val="left"/>
              <w:rPr/>
            </w:pPr>
            <w:r>
              <w:rPr/>
              <w:t>)</w:t>
            </w:r>
          </w:p>
        </w:tc>
        <w:tc>
          <w:tcPr>
            <w:tcW w:w="13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(199</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382" w:type="dxa"/>
            <w:tcBorders/>
            <w:shd w:fill="FFFFFF" w:val="clear"/>
            <w:vAlign w:val="center"/>
          </w:tcPr>
          <w:p>
            <w:pPr>
              <w:pStyle w:val="TableContents"/>
              <w:bidi w:val="0"/>
              <w:spacing w:before="0" w:after="283"/>
              <w:jc w:val="right"/>
              <w:rPr/>
            </w:pPr>
            <w:r>
              <w:rPr/>
              <w:t>(328</w:t>
            </w:r>
          </w:p>
        </w:tc>
        <w:tc>
          <w:tcPr>
            <w:tcW w:w="206" w:type="dxa"/>
            <w:tcBorders/>
            <w:shd w:fill="FFFFFF" w:val="clear"/>
            <w:vAlign w:val="center"/>
          </w:tcPr>
          <w:p>
            <w:pPr>
              <w:pStyle w:val="TableContents"/>
              <w:bidi w:val="0"/>
              <w:spacing w:before="0" w:after="283"/>
              <w:jc w:val="left"/>
              <w:rPr/>
            </w:pPr>
            <w:r>
              <w:rPr/>
              <w:t>)</w:t>
            </w:r>
          </w:p>
        </w:tc>
        <w:tc>
          <w:tcPr>
            <w:tcW w:w="13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06"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3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12" w:space="0" w:color="000000"/>
            </w:tcBorders>
            <w:shd w:fill="CCEEFF" w:val="clear"/>
            <w:tcMar>
              <w:bottom w:w="28" w:type="dxa"/>
            </w:tcMar>
            <w:vAlign w:val="center"/>
          </w:tcPr>
          <w:p>
            <w:pPr>
              <w:pStyle w:val="TableContents"/>
              <w:bidi w:val="0"/>
              <w:spacing w:before="0" w:after="283"/>
              <w:jc w:val="right"/>
              <w:rPr/>
            </w:pPr>
            <w:r>
              <w:rPr/>
              <w:t>172</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b/>
              </w:rPr>
            </w:pPr>
            <w:r>
              <w:rPr>
                <w:b/>
              </w:rPr>
              <w:t>Net increase in cash</w:t>
            </w:r>
          </w:p>
        </w:tc>
        <w:tc>
          <w:tcPr>
            <w:tcW w:w="60" w:type="dxa"/>
            <w:tcBorders/>
            <w:shd w:fill="FFFFFF" w:val="clear"/>
            <w:vAlign w:val="center"/>
          </w:tcPr>
          <w:p>
            <w:pPr>
              <w:pStyle w:val="TableContents"/>
              <w:bidi w:val="0"/>
              <w:spacing w:before="0" w:after="283"/>
              <w:jc w:val="left"/>
              <w:rPr/>
            </w:pPr>
            <w:r>
              <w:rPr/>
              <w:t> </w:t>
            </w:r>
          </w:p>
        </w:tc>
        <w:tc>
          <w:tcPr>
            <w:tcW w:w="30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82" w:type="dxa"/>
            <w:tcBorders>
              <w:bottom w:val="double" w:sz="10" w:space="0" w:color="000000"/>
            </w:tcBorders>
            <w:shd w:fill="FFFFFF" w:val="clear"/>
            <w:tcMar>
              <w:bottom w:w="28" w:type="dxa"/>
            </w:tcMar>
            <w:vAlign w:val="center"/>
          </w:tcPr>
          <w:p>
            <w:pPr>
              <w:pStyle w:val="TableContents"/>
              <w:bidi w:val="0"/>
              <w:spacing w:before="0" w:after="283"/>
              <w:jc w:val="right"/>
              <w:rPr/>
            </w:pPr>
            <w:r>
              <w:rPr/>
              <w:t>(4,184</w:t>
            </w:r>
          </w:p>
        </w:tc>
        <w:tc>
          <w:tcPr>
            <w:tcW w:w="206" w:type="dxa"/>
            <w:tcBorders/>
            <w:shd w:fill="FFFFFF" w:val="clear"/>
            <w:vAlign w:val="center"/>
          </w:tcPr>
          <w:p>
            <w:pPr>
              <w:pStyle w:val="TableContents"/>
              <w:bidi w:val="0"/>
              <w:spacing w:before="0" w:after="283"/>
              <w:jc w:val="left"/>
              <w:rPr/>
            </w:pPr>
            <w:r>
              <w:rPr/>
              <w:t>)</w:t>
            </w:r>
          </w:p>
        </w:tc>
        <w:tc>
          <w:tcPr>
            <w:tcW w:w="130" w:type="dxa"/>
            <w:tcBorders/>
            <w:shd w:fill="FFFFFF" w:val="clear"/>
            <w:vAlign w:val="center"/>
          </w:tcPr>
          <w:p>
            <w:pPr>
              <w:pStyle w:val="TableContents"/>
              <w:bidi w:val="0"/>
              <w:spacing w:before="0" w:after="283"/>
              <w:jc w:val="left"/>
              <w:rPr/>
            </w:pPr>
            <w:r>
              <w:rPr/>
              <w:t> </w:t>
            </w:r>
          </w:p>
        </w:tc>
        <w:tc>
          <w:tcPr>
            <w:tcW w:w="30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0" w:type="dxa"/>
            <w:tcBorders>
              <w:bottom w:val="double" w:sz="10" w:space="0" w:color="000000"/>
            </w:tcBorders>
            <w:shd w:fill="FFFFFF" w:val="clear"/>
            <w:tcMar>
              <w:bottom w:w="28" w:type="dxa"/>
            </w:tcMar>
            <w:vAlign w:val="center"/>
          </w:tcPr>
          <w:p>
            <w:pPr>
              <w:pStyle w:val="TableContents"/>
              <w:bidi w:val="0"/>
              <w:spacing w:before="0" w:after="283"/>
              <w:jc w:val="right"/>
              <w:rPr/>
            </w:pPr>
            <w:r>
              <w:rPr/>
              <w:t>(27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operating activities for the three months ended March 31, 2026 was $3,856. This amount was primarily driven by (i) net loss of $7,106, (ii) non-cash adjustments of $3,038, (iii) net working capital decreases of $195, and (iv) an increase in other non-current liabilities of $17.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operating activities for the three months ended March 31, 2025 was $199. This amount was primarily attributable to (i) net loss of $1,448, (ii) non-cash adjustments of $46, and (iii) net working capital decreases of $1,203.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 for the three months ended March 31, 2026 was $328, which was related to the purchases of equipment. There was no net cash from investing activities during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net cash from financing activities during the three months ended March 31, 2026. Net cash provided by financing activities for the three months ended March 31, 2025 consisted of proceeds of $172 from an interest-free loan agreement that we entered into with our shareholders on December 18, 2024.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our critical accounting policies and estimates from those disclosed in our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off-balance sheet arrangements (as that term is defined in Item 303 of Regulation S-K) that are reasonably likely to have a current or future material effect on our financial condition, expenses, results of operations, liquidity, or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3. “Related Party Transactions” of the Notes to our Financial Statements included elsewhere in this Form 10-Q for a discussion of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Standards and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2. “Summary of Significant Accounting Policies” of the Notes to our Financial Statements included elsewhere in this Form 10-Q for a discussion of recent accounting standards and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otherwise required under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an evaluation, under the supervision and with the participation of our management, of the effectiveness of the design and operation of our disclosure controls and procedures. The term “disclosure controls and procedures,” as defined in Rules 13a-15(e) and 15d-15(e) under the Securities Exchange Act of 1934, as amended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controls and other procedures of a company that are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also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that evaluation, our Chief Executive Officer and Chief Financial Officer concluded that, as of March 31, 2026, our disclosure controls and procedures were not effective because of certain material weaknesses in our internal control over financial reporting, as further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Management’s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Rules 13a-15(f) and 15d-15(f) under the Securities Exchange Act of 1934. Our internal control over financial reporting is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Our internal control over financial reporting includes those policies and procedures that: (i) pertain to the maintenance of records that, in reasonable detail, accurately and fairly reflect the transactions and disposition of the assets of our company; (ii) provide reasonable assurance that transactions are recorded as necessary to permit preparation of financial statements in accordance with GAAP and that receipts and expenditures of our company are being made only in accordance with authorization of management and directors of our company; and (iii) provide reasonable assurance regarding prevention or timely detection of unauthorized acquisition, use, or disposition of our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assessed the effectiveness of our internal control over financial reporting as of March 31, 2026. In making this assessment, management used the criteria set forth by the Committee of Sponsoring Organizations of the Treadway Commission in the 2013 Internal Control-Integrated Framework (or “</w:t>
      </w:r>
      <w:r>
        <w:rPr>
          <w:rFonts w:ascii="Times New Roman;Times;Serif" w:hAnsi="Times New Roman;Times;Serif"/>
          <w:b/>
          <w:i w:val="false"/>
          <w:caps w:val="false"/>
          <w:smallCaps w:val="false"/>
          <w:sz w:val="20"/>
        </w:rPr>
        <w:t>COSO Framework”</w:t>
      </w:r>
      <w:r>
        <w:rPr>
          <w:rFonts w:ascii="Times New Roman;Times;Serif" w:hAnsi="Times New Roman;Times;Serif"/>
          <w:b w:val="false"/>
          <w:i w:val="false"/>
          <w:caps w:val="false"/>
          <w:smallCaps w:val="false"/>
          <w:sz w:val="20"/>
        </w:rPr>
        <w:t>). Based on its evaluation, management has concluded that we did not maintain effective internal control over financial reporting as of March 31, 2026 due to the existence of four material weaknesses, described further below. A material weakness, as defined under standards established by the Public Company Accounting Oversight Board’s Auditing Standard No. 2, is a control deficiency, or a combination of control deficiencies, that results in more than a remote likelihood that material misstatement of annual or interim financial statements would not be prevented or detected. We describe the material weaknesses in the following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 Material Weakness in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maintain effective internal controls over financial reporting, based on the criteria established in the COSO Framework, which resulted in deficiencies in principles associated with the control environment and its ongoing evaluation by management. These control deficiencies constituted material weaknesses, either individually or in the aggregate, relating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lack of sufficient Sarbanes-Oxley Act of 2002 (“</w:t>
            </w:r>
            <w:r>
              <w:rPr>
                <w:rFonts w:ascii="Times New Roman;Times;Serif" w:hAnsi="Times New Roman;Times;Serif"/>
                <w:b/>
                <w:sz w:val="20"/>
              </w:rPr>
              <w:t>Sarbanes-Oxley</w:t>
            </w:r>
            <w:r>
              <w:rPr>
                <w:rFonts w:ascii="Times New Roman;Times;Serif" w:hAnsi="Times New Roman;Times;Serif"/>
                <w:sz w:val="20"/>
              </w:rPr>
              <w:t>”) control environment, including: (i) insufficient structured reporting to our Board of Directors and Audit Committee on the design and operating effectiveness of internal controls over financial reporting; (ii) the organization has not attracted, developed, or retained personnel with the competence required to design and execute SOX-compliant controls, including the competence to scope, review and challenge the work of the external accounting valuation and tax specialists on which it relies; (iii) organizational structures, reporting lines and authorities for the financial reporting function have not been formally defined, which is the structural driver of the segregation of duties condition; and (iv) no individual has been formally designated as accountable for our Sarbanes-Oxley compliance program.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Following completion of our de-SPAC transaction we did not perform a formal assessment of the impact of this change on our internal control environment. As a result: (i) financial reporting objectives have not been defined in the context of public company obligations; (ii) risks to achieving those objectives have not been formally identified or assessed; (iii) no fraud risk assessment has been performed; (iv) accountability for the risk-assessment process has not been assigned; and (v) no evaluation was performed to assess the delta between our existing control environment and the requirements of an SEC registrant.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to uplift our internal controls following our de-SPAC transaction. Specifically: (i) key controls lack documented evidence of review sufficient for audit purposes; (ii) data used in controls has not been validated for completeness and accuracy; (iii) third-party data is relied upon without evaluation of service organization controls or mapping of complementary user entity controls, and reliance on external specialists engaged for complex accounting, valuation and tax matters is not subject to structured internal review and challenge; (iv) no formal SOX policies or procedures have been documented; and (v) IT General Controls have not been scoped or evaluated.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do not have a monitoring program to assess whether internal controls over financial reporting are present and operating effectively on an ongoing basis.</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created a reasonable possibility that a material misstatement of our annual or interim financial statements will not be prevented or detected on a timely basis as of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developed a plan to remediate the identified material weaknesses, and we expect to begin implementing these remediation efforts in 2026 and to include the following measures:</w:t>
      </w:r>
    </w:p>
    <w:p>
      <w:pPr>
        <w:pStyle w:val="TextBody"/>
        <w:bidi w:val="0"/>
        <w:spacing w:before="0" w:after="0"/>
        <w:ind w:left="0" w:right="0" w:firstLine="36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105"/>
        <w:gridCol w:w="200"/>
        <w:gridCol w:w="48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designating a Sarbanes-Oxley compliance program owner;</w:t>
            </w:r>
          </w:p>
        </w:tc>
      </w:tr>
    </w:tbl>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105"/>
        <w:gridCol w:w="200"/>
        <w:gridCol w:w="70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engaging external Sarbanes-Oxley advisors to provide training and advisory support; </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105"/>
        <w:gridCol w:w="200"/>
        <w:gridCol w:w="52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evaluating the need for additional qualified finance headcount; </w:t>
            </w:r>
          </w:p>
        </w:tc>
      </w:tr>
    </w:tbl>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105"/>
        <w:gridCol w:w="200"/>
        <w:gridCol w:w="53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establishing audit committee reporting on internal control status;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performing a formal de-SPAC transition impact assessment on internal controls, including documenting the gap between current-state controls and SOX requirements as the baseline for the remediation roadmap;</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105"/>
        <w:gridCol w:w="200"/>
        <w:gridCol w:w="94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performing a formal fraud risk assessment over financial reporting and reporting the results to the Audit Committee;</w:t>
            </w:r>
          </w:p>
        </w:tc>
      </w:tr>
    </w:tbl>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105"/>
        <w:gridCol w:w="200"/>
        <w:gridCol w:w="53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developing SOX policies and procedures and control templates; </w:t>
            </w:r>
          </w:p>
        </w:tc>
      </w:tr>
    </w:tbl>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105"/>
        <w:gridCol w:w="200"/>
        <w:gridCol w:w="51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implementing data validation protocols for all control inputs; </w:t>
            </w:r>
          </w:p>
        </w:tc>
      </w:tr>
    </w:tbl>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105"/>
        <w:gridCol w:w="200"/>
        <w:gridCol w:w="85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obtaining and reviewing SOC-1 reports for key third-party vendors and completing CUEC mapping; and</w:t>
            </w:r>
          </w:p>
        </w:tc>
      </w:tr>
    </w:tbl>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105"/>
        <w:gridCol w:w="200"/>
        <w:gridCol w:w="81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scoping and commencing an IT general controls assessment with support from an IT audit specialist.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during the quarter ended March 31, 2026, in our internal control over financial reporting that materially affected, or are reasonably likely to materially affect, our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and from time to time, we may become involved in legal proceedings or be subject to claims arising in the ordinary course of our business. We are not presently a party to any legal proceedings that in the opinion of our management, if determined adversely to us, would individually or taken together have a material adverse effect on our business, financial condition or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Defending such proceedings is costly and can impose a significant burden on management and team members.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1A. 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otherwise required under this item.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2. UNREGISTERED SALES OF EQUITY SECURITIES, USE OF PROCEEDS AND ISSUER PURCHASES OF EQUITY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4. MINE SAFETY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9"/>
        <w:gridCol w:w="60"/>
        <w:gridCol w:w="9246"/>
      </w:tblGrid>
      <w:tr>
        <w:trPr/>
        <w:tc>
          <w:tcPr>
            <w:tcW w:w="899"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 No. </w:t>
            </w:r>
          </w:p>
        </w:tc>
        <w:tc>
          <w:tcPr>
            <w:tcW w:w="60" w:type="dxa"/>
            <w:tcBorders/>
            <w:tcMar>
              <w:bottom w:w="0" w:type="dxa"/>
            </w:tcMar>
            <w:vAlign w:val="center"/>
          </w:tcPr>
          <w:p>
            <w:pPr>
              <w:pStyle w:val="TableContents"/>
              <w:bidi w:val="0"/>
              <w:spacing w:before="0" w:after="283"/>
              <w:jc w:val="left"/>
              <w:rPr/>
            </w:pPr>
            <w:r>
              <w:rPr/>
              <w:t> </w:t>
            </w:r>
          </w:p>
        </w:tc>
        <w:tc>
          <w:tcPr>
            <w:tcW w:w="924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89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46"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Certification of Principal Executive Officer pursuant to Exchange Act Rules 13a-14(a) and 15d-14(a), as adopted pursuant to Section 302 of the Sarbanes-Oxley Act of 2002.</w:t>
              </w:r>
            </w:hyperlink>
          </w:p>
        </w:tc>
      </w:tr>
      <w:tr>
        <w:trPr/>
        <w:tc>
          <w:tcPr>
            <w:tcW w:w="89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46" w:type="dxa"/>
            <w:tcBorders/>
            <w:shd w:fill="FFFF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Certification of Principal Financial Officer pursuant to Exchange Act Rules 13a-14(a) and 15d-14(a), as adopted pursuant to Section 302 of the Sarbanes-Oxley Act of 2002.</w:t>
              </w:r>
            </w:hyperlink>
          </w:p>
        </w:tc>
      </w:tr>
      <w:tr>
        <w:trPr/>
        <w:tc>
          <w:tcPr>
            <w:tcW w:w="89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46"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Certification of Principal Executive Officer pursuant to 18 U.S.C. Section 1350, as adopted pursuant to Section 906 of the Sarbanes-Oxley Act of 2002.</w:t>
              </w:r>
            </w:hyperlink>
          </w:p>
        </w:tc>
      </w:tr>
      <w:tr>
        <w:trPr/>
        <w:tc>
          <w:tcPr>
            <w:tcW w:w="89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46" w:type="dxa"/>
            <w:tcBorders/>
            <w:shd w:fill="FFFF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rPr>
                <w:t>Certification of Principal Financial Officer pursuant to 18 U.S.C. Section 1350, as adopted pursuant to Section 906 of the Sarbanes-Oxley Act of 2002.</w:t>
              </w:r>
            </w:hyperlink>
          </w:p>
        </w:tc>
      </w:tr>
      <w:tr>
        <w:trPr/>
        <w:tc>
          <w:tcPr>
            <w:tcW w:w="89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4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iXBRL tags are embedded within the Inline XBRL document).</w:t>
            </w:r>
          </w:p>
        </w:tc>
      </w:tr>
      <w:tr>
        <w:trPr/>
        <w:tc>
          <w:tcPr>
            <w:tcW w:w="89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46"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9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4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9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46"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9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4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Labels Linkbase Document</w:t>
            </w:r>
          </w:p>
        </w:tc>
      </w:tr>
      <w:tr>
        <w:trPr/>
        <w:tc>
          <w:tcPr>
            <w:tcW w:w="89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46"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9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4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from the Company’s Quarterly Report on Form 10-Q for the period ended March 31, 2026 formatted in Inline XBRL (included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685"/>
        <w:gridCol w:w="3815"/>
      </w:tblGrid>
      <w:tr>
        <w:trPr/>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30, 2026</w:t>
            </w:r>
          </w:p>
        </w:tc>
        <w:tc>
          <w:tcPr>
            <w:tcW w:w="3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Terra Innovatum Global N.V.</w:t>
            </w:r>
          </w:p>
        </w:tc>
      </w:tr>
      <w:tr>
        <w:trPr/>
        <w:tc>
          <w:tcPr>
            <w:tcW w:w="168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38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Alessandro Petruzzi</w:t>
            </w:r>
          </w:p>
        </w:tc>
      </w:tr>
      <w:tr>
        <w:trPr/>
        <w:tc>
          <w:tcPr>
            <w:tcW w:w="168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Alessandro Petruzzi</w:t>
            </w:r>
          </w:p>
        </w:tc>
      </w:tr>
      <w:tr>
        <w:trPr/>
        <w:tc>
          <w:tcPr>
            <w:tcW w:w="168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r>
      <w:tr>
        <w:trPr/>
        <w:tc>
          <w:tcPr>
            <w:tcW w:w="168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68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38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Katherine Williams </w:t>
            </w:r>
          </w:p>
        </w:tc>
      </w:tr>
      <w:tr>
        <w:trPr/>
        <w:tc>
          <w:tcPr>
            <w:tcW w:w="168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Katherine Williams</w:t>
            </w:r>
          </w:p>
        </w:tc>
      </w:tr>
      <w:tr>
        <w:trPr/>
        <w:tc>
          <w:tcPr>
            <w:tcW w:w="168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Financial Officer</w:t>
            </w:r>
          </w:p>
        </w:tc>
      </w:tr>
      <w:tr>
        <w:trPr/>
        <w:tc>
          <w:tcPr>
            <w:tcW w:w="168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67627/000121390026073896/ea029556601ex31-1.htm" TargetMode="External"/><Relationship Id="rId3" Type="http://schemas.openxmlformats.org/officeDocument/2006/relationships/hyperlink" Target="https://www.sec.gov/Archives/edgar/data/2067627/000121390026073896/ea029556601ex31-2.htm" TargetMode="External"/><Relationship Id="rId4" Type="http://schemas.openxmlformats.org/officeDocument/2006/relationships/hyperlink" Target="https://www.sec.gov/Archives/edgar/data/2067627/000121390026073896/ea029556601ex32-1.htm" TargetMode="External"/><Relationship Id="rId5" Type="http://schemas.openxmlformats.org/officeDocument/2006/relationships/hyperlink" Target="https://www.sec.gov/Archives/edgar/data/2067627/000121390026073896/ea029556601ex32-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13435</Words>
  <Characters>76912</Characters>
  <CharactersWithSpaces>91016</CharactersWithSpaces>
  <Paragraphs>3127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