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20" w:right="1140" w:hanging="2781"/>
        <w:spacing w:after="0" w:line="493" w:lineRule="auto"/>
        <w:tabs>
          <w:tab w:leader="none" w:pos="144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2026</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3300" w:right="1120" w:hanging="2171"/>
        <w:spacing w:after="0" w:line="500" w:lineRule="auto"/>
        <w:tabs>
          <w:tab w:leader="none" w:pos="14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_____________</w:t>
      </w:r>
    </w:p>
    <w:p>
      <w:pPr>
        <w:spacing w:after="0" w:line="1" w:lineRule="exact"/>
        <w:rPr>
          <w:rFonts w:ascii="MS PGothic" w:cs="MS PGothic" w:eastAsia="MS PGothic" w:hAnsi="MS PGothic"/>
          <w:sz w:val="18"/>
          <w:szCs w:val="18"/>
          <w:color w:val="auto"/>
        </w:rPr>
      </w:pPr>
    </w:p>
    <w:p>
      <w:pPr>
        <w:ind w:left="4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001-42901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4640" w:type="dxa"/>
            <w:vAlign w:val="bottom"/>
            <w:gridSpan w:val="3"/>
          </w:tcPr>
          <w:p>
            <w:pPr>
              <w:jc w:val="center"/>
              <w:ind w:left="7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6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Via Matteo Trenta 117, Lucca, Italy 55100</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55100 LU</w:t>
            </w:r>
          </w:p>
        </w:tc>
      </w:tr>
      <w:tr>
        <w:trPr>
          <w:trHeight w:val="234"/>
        </w:trPr>
        <w:tc>
          <w:tcPr>
            <w:tcW w:w="46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2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+39 0583 55797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1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€0.01 per share</w:t>
            </w:r>
          </w:p>
        </w:tc>
        <w:tc>
          <w:tcPr>
            <w:tcW w:w="2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7"/>
              </w:rPr>
              <w:t>NKLR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29, 2026, there were a total of 110,500,908 ordinary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ind w:left="4500"/>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40" w:type="dxa"/>
            <w:vAlign w:val="bottom"/>
            <w:gridSpan w:val="7"/>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100" w:type="dxa"/>
            <w:vAlign w:val="bottom"/>
            <w:gridSpan w:val="6"/>
            <w:shd w:val="clear" w:color="auto" w:fill="CCEEFF"/>
          </w:tcPr>
          <w:p>
            <w:pPr>
              <w:jc w:val="center"/>
              <w:ind w:right="348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182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8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82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4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100" w:type="dxa"/>
            <w:vAlign w:val="bottom"/>
            <w:tcBorders>
              <w:bottom w:val="single" w:sz="8" w:color="CCEEFF"/>
            </w:tcBorders>
            <w:gridSpan w:val="6"/>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82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75"/>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100" w:type="dxa"/>
            <w:vAlign w:val="bottom"/>
            <w:gridSpan w:val="6"/>
          </w:tcPr>
          <w:p>
            <w:pPr>
              <w:jc w:val="center"/>
              <w:ind w:right="350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18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82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5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8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Use of Proceeds and Issuer Purchases of Equity Securities.</w:t>
            </w:r>
          </w:p>
        </w:tc>
        <w:tc>
          <w:tcPr>
            <w:tcW w:w="182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8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140" w:type="dxa"/>
            <w:vAlign w:val="bottom"/>
            <w:tcBorders>
              <w:top w:val="single" w:sz="8" w:color="CCEEFF"/>
            </w:tcBorders>
            <w:gridSpan w:val="7"/>
          </w:tcPr>
          <w:p>
            <w:pPr>
              <w:spacing w:after="0"/>
              <w:rPr>
                <w:sz w:val="15"/>
                <w:szCs w:val="15"/>
                <w:color w:val="auto"/>
              </w:rPr>
            </w:pPr>
          </w:p>
        </w:tc>
        <w:tc>
          <w:tcPr>
            <w:tcW w:w="1820" w:type="dxa"/>
            <w:vAlign w:val="bottom"/>
            <w:tcBorders>
              <w:top w:val="single" w:sz="8" w:color="CCEEFF"/>
            </w:tcBorders>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140" w:type="dxa"/>
            <w:vAlign w:val="bottom"/>
            <w:tcBorders>
              <w:bottom w:val="single" w:sz="8" w:color="CCEEFF"/>
            </w:tcBorders>
            <w:gridSpan w:val="11"/>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4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860" w:type="dxa"/>
            <w:vAlign w:val="bottom"/>
            <w:gridSpan w:val="13"/>
          </w:tcPr>
          <w:p>
            <w:pPr>
              <w:spacing w:after="0"/>
              <w:rPr>
                <w:sz w:val="15"/>
                <w:szCs w:val="15"/>
                <w:color w:val="auto"/>
              </w:rPr>
            </w:pPr>
          </w:p>
        </w:tc>
        <w:tc>
          <w:tcPr>
            <w:tcW w:w="182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All statements contained in this Form 10-Q,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18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 including our ability to build and commercialize a micro-modular nuclear reactor;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and competition trends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investors, institutional funding partners and other parties with whom we collaborate;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general economic and business conditions in the markets in which we operate;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filed on Form 10-K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Terra Innovatum Global N.V.</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(formerly Terra Innovatum Global Srl.)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Interim 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96,701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102,882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101,482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106,034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101,899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106,136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Share-settled contingent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185,860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10,236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(€0.01 par value, 500,000,000 shares authorized as of March 31, 2026 and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110,226,198 shares issued and outstanding as of March 31, 2026 and 110,226,198 issued and outstanding as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Shares (€100 par value, 8,040 shares authorized as of March 31, 2026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20 shares issued and outstanding as of March 31, 2026 and December 31, 2025)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519,422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519,422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(614,382)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(607,276)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(8,099)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(98,692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(93,590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101,899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106,136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USD)(in thousands, except share and per share amounts)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(6,634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(1,449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 share settled contingent liability</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 warrant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Weighted-average ordinary shares outstanding -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110,226,198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47,500,000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0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3,086</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110,226,198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519,422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(607,276)</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(10,103)</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(93,590)</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spacing w:after="0"/>
              <w:rPr>
                <w:sz w:val="12"/>
                <w:szCs w:val="12"/>
                <w:color w:val="auto"/>
              </w:rPr>
            </w:pPr>
          </w:p>
        </w:tc>
        <w:tc>
          <w:tcPr>
            <w:tcW w:w="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46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(7,106)</w:t>
            </w:r>
          </w:p>
        </w:tc>
        <w:tc>
          <w:tcPr>
            <w:tcW w:w="180" w:type="dxa"/>
            <w:vAlign w:val="bottom"/>
          </w:tcPr>
          <w:p>
            <w:pPr>
              <w:spacing w:after="0"/>
              <w:rPr>
                <w:sz w:val="12"/>
                <w:szCs w:val="12"/>
                <w:color w:val="auto"/>
              </w:rPr>
            </w:pPr>
          </w:p>
        </w:tc>
        <w:tc>
          <w:tcPr>
            <w:tcW w:w="94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(7,106)</w:t>
            </w:r>
          </w:p>
        </w:tc>
        <w:tc>
          <w:tcPr>
            <w:tcW w:w="0" w:type="dxa"/>
            <w:vAlign w:val="bottom"/>
          </w:tcPr>
          <w:p>
            <w:pPr>
              <w:spacing w:after="0"/>
              <w:rPr>
                <w:sz w:val="1"/>
                <w:szCs w:val="1"/>
                <w:color w:val="auto"/>
              </w:rPr>
            </w:pPr>
          </w:p>
        </w:tc>
      </w:tr>
      <w:tr>
        <w:trPr>
          <w:trHeight w:val="162"/>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4"/>
              </w:rPr>
              <w:t>-</w:t>
            </w:r>
          </w:p>
        </w:tc>
        <w:tc>
          <w:tcPr>
            <w:tcW w:w="4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2,004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0"/>
        </w:trPr>
        <w:tc>
          <w:tcPr>
            <w:tcW w:w="2200" w:type="dxa"/>
            <w:vAlign w:val="bottom"/>
            <w:gridSpan w:val="2"/>
            <w:vMerge w:val="continue"/>
          </w:tcPr>
          <w:p>
            <w:pPr>
              <w:spacing w:after="0"/>
              <w:rPr>
                <w:sz w:val="14"/>
                <w:szCs w:val="14"/>
                <w:color w:val="auto"/>
              </w:rPr>
            </w:pPr>
          </w:p>
        </w:tc>
        <w:tc>
          <w:tcPr>
            <w:tcW w:w="700" w:type="dxa"/>
            <w:vAlign w:val="bottom"/>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6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3,086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110,226,198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519,422</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(614,382</w:t>
            </w:r>
          </w:p>
        </w:tc>
        <w:tc>
          <w:tcPr>
            <w:tcW w:w="20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(8,099</w:t>
            </w:r>
          </w:p>
        </w:tc>
        <w:tc>
          <w:tcPr>
            <w:tcW w:w="200" w:type="dxa"/>
            <w:vAlign w:val="bottom"/>
            <w:vMerge w:val="continue"/>
          </w:tcPr>
          <w:p>
            <w:pPr>
              <w:spacing w:after="0"/>
              <w:rPr>
                <w:sz w:val="14"/>
                <w:szCs w:val="1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(98,692</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9"/>
                <w:szCs w:val="9"/>
                <w:color w:val="auto"/>
              </w:rPr>
            </w:pPr>
          </w:p>
        </w:tc>
        <w:tc>
          <w:tcPr>
            <w:tcW w:w="1600" w:type="dxa"/>
            <w:vAlign w:val="bottom"/>
            <w:gridSpan w:val="4"/>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5"/>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vMerge w:val="restart"/>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comprehensive</w:t>
            </w:r>
          </w:p>
        </w:tc>
        <w:tc>
          <w:tcPr>
            <w:tcW w:w="1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26"/>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Retrospective application of the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Combination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1900" w:type="dxa"/>
            <w:vAlign w:val="bottom"/>
            <w:vMerge w:val="restart"/>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Adjusted balances at</w:t>
            </w: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vMerge w:val="continue"/>
            <w:shd w:val="clear" w:color="auto" w:fill="CCEEFF"/>
          </w:tcPr>
          <w:p>
            <w:pPr>
              <w:spacing w:after="0"/>
              <w:rPr>
                <w:sz w:val="9"/>
                <w:szCs w:val="9"/>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47,500,000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551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(548)</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2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18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35"/>
        </w:trPr>
        <w:tc>
          <w:tcPr>
            <w:tcW w:w="190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jc w:val="right"/>
              <w:ind w:right="50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47,500,000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551</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(548)</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(37)</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(32)</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(1,448)</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7"/>
        </w:trPr>
        <w:tc>
          <w:tcPr>
            <w:tcW w:w="1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83"/>
        </w:trPr>
        <w:tc>
          <w:tcPr>
            <w:tcW w:w="1900" w:type="dxa"/>
            <w:vAlign w:val="bottom"/>
            <w:vMerge w:val="continue"/>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47,500,000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w:t>
            </w:r>
          </w:p>
        </w:tc>
        <w:tc>
          <w:tcPr>
            <w:tcW w:w="140" w:type="dxa"/>
            <w:vAlign w:val="bottom"/>
            <w:vMerge w:val="continue"/>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(1,485</w:t>
            </w:r>
          </w:p>
        </w:tc>
        <w:tc>
          <w:tcPr>
            <w:tcW w:w="140" w:type="dxa"/>
            <w:vAlign w:val="bottom"/>
            <w:vMerge w:val="continue"/>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(1,474</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p>
      <w:pPr>
        <w:spacing w:after="0" w:line="200" w:lineRule="exact"/>
        <w:rPr>
          <w:sz w:val="20"/>
          <w:szCs w:val="20"/>
          <w:color w:val="auto"/>
        </w:rPr>
      </w:pP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share-settled contingent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(1,716)</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loans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102,882</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disclosures for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Terra Innovatum Global N.V. (the “Company” or “Terra”) is a Dutch public limited liability company (naamloze vennootschap) organized under the laws of the Netherlands. The Company is registered in the Netherlands, and its legal headquarters is in Lucca, Italy, San Marco district at Via Matteo Trenta No. 117.</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October 9, 2025, the Company consummated a business combination with GSR III Acquisition Corp. (“</w:t>
      </w:r>
      <w:r>
        <w:rPr>
          <w:rFonts w:ascii="Times New Roman" w:cs="Times New Roman" w:eastAsia="Times New Roman" w:hAnsi="Times New Roman"/>
          <w:sz w:val="18"/>
          <w:szCs w:val="18"/>
          <w:b w:val="1"/>
          <w:bCs w:val="1"/>
          <w:color w:val="auto"/>
        </w:rPr>
        <w:t>GSR III</w:t>
      </w:r>
      <w:r>
        <w:rPr>
          <w:rFonts w:ascii="Times New Roman" w:cs="Times New Roman" w:eastAsia="Times New Roman" w:hAnsi="Times New Roman"/>
          <w:sz w:val="18"/>
          <w:szCs w:val="18"/>
          <w:color w:val="auto"/>
        </w:rPr>
        <w:t>”) pursuant to a Business Combination Agreement dated April 21, 2025, as amended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which was accounted for as a recapitalization. Additional details are included in the Company’s Annual Report on Form 10-K for the year ended December 31, 2025. As a result of the Business Combination, the Company became a publicly traded parent company of the combined organization. The Company’s ordinary shares commenced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“NKLR” on October 10, 2025.</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Following the Business Combination, Terra Innovatum Srl. (“</w:t>
      </w:r>
      <w:r>
        <w:rPr>
          <w:rFonts w:ascii="Times New Roman" w:cs="Times New Roman" w:eastAsia="Times New Roman" w:hAnsi="Times New Roman"/>
          <w:sz w:val="18"/>
          <w:szCs w:val="18"/>
          <w:b w:val="1"/>
          <w:bCs w:val="1"/>
          <w:color w:val="auto"/>
        </w:rPr>
        <w:t>Legacy Terra</w:t>
      </w:r>
      <w:r>
        <w:rPr>
          <w:rFonts w:ascii="Times New Roman" w:cs="Times New Roman" w:eastAsia="Times New Roman" w:hAnsi="Times New Roman"/>
          <w:sz w:val="18"/>
          <w:szCs w:val="18"/>
          <w:color w:val="auto"/>
        </w:rPr>
        <w:t>”), the private operating company prior to the Business Combination, continues to operate as a wholly owned subsidiary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33"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The Company is developing a micro-modular nuclear reactor known as the SOLO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Micro-Modular Nuclear Reactor (“</w:t>
      </w:r>
      <w:r>
        <w:rPr>
          <w:rFonts w:ascii="Times New Roman" w:cs="Times New Roman" w:eastAsia="Times New Roman" w:hAnsi="Times New Roman"/>
          <w:sz w:val="18"/>
          <w:szCs w:val="18"/>
          <w:b w:val="1"/>
          <w:bCs w:val="1"/>
          <w:color w:val="auto"/>
        </w:rPr>
        <w:t>SOLO</w:t>
      </w:r>
      <w:r>
        <w:rPr>
          <w:rFonts w:ascii="Times New Roman" w:cs="Times New Roman" w:eastAsia="Times New Roman" w:hAnsi="Times New Roman"/>
          <w:sz w:val="18"/>
          <w:szCs w:val="18"/>
          <w:color w:val="auto"/>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 w:cs="Times New Roman" w:eastAsia="Times New Roman" w:hAnsi="Times New Roman"/>
          <w:sz w:val="18"/>
          <w:szCs w:val="18"/>
          <w:b w:val="1"/>
          <w:bCs w:val="1"/>
          <w:color w:val="auto"/>
        </w:rPr>
        <w:t>MWe</w:t>
      </w:r>
      <w:r>
        <w:rPr>
          <w:rFonts w:ascii="Times New Roman" w:cs="Times New Roman" w:eastAsia="Times New Roman" w:hAnsi="Times New Roman"/>
          <w:sz w:val="18"/>
          <w:szCs w:val="18"/>
          <w:color w:val="auto"/>
        </w:rPr>
        <w:t>”) of baseload power through a gas-cooled system utilizing commercially available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The reactor design contemplates extended operating cycles, including refueling capabilities, subject to regulatory approval.</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has completed the conceptual and detailed design phases of SOLO and has validated certain key technological components. The Company has initiated pre-application engagement with the U.S. Nuclear Regulatory Commission (“</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and is progressing through regulatory and licensing activities required for future construction and operation. The Company has not yet constructed a commercial reactor and has not generated revenues from operations. All activities to date relate to research and development and preparation for potential future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an early-stage nuclear energy technology company and has not generated revenue from its principal operations. The Company’s activities remain focused on research and development, regulatory engagement, and preparation for future commercialization of its SOLO reactor technology.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is subject to risks and uncertainties common to early-stage development enterprises, including the ability to obtain required regulatory approvals, successfully advance its technology through the licensing process, and continue to access capital to fund operations and future commercialization efforts. The regulatory approval process for nuclear technologies is complex, time-consuming, and subject to factors beyond the Company’s control.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will require substantial additional capital to complete development and achieve commercialization, and there can be no assurance that such financing will be available on acceptable terms, or at all. These factors could impact the Company’s ability to execute its long-term business plan. However, there can be no assurance that additional financing will be available on favorable terms, if at all. These factors could impact the Company’s ability to execute its long-term business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generally accepted accounting principles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applicable rules and regulations of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regarding interim financial reporting. Any reference in these notes to applicable guidance is meant to refer to U.S. GAAP, as found in the ASC and Accounting Standards Updates (“</w:t>
      </w:r>
      <w:r>
        <w:rPr>
          <w:rFonts w:ascii="Times New Roman" w:cs="Times New Roman" w:eastAsia="Times New Roman" w:hAnsi="Times New Roman"/>
          <w:sz w:val="18"/>
          <w:szCs w:val="18"/>
          <w:b w:val="1"/>
          <w:bCs w:val="1"/>
          <w:color w:val="auto"/>
        </w:rPr>
        <w:t>ASUs</w:t>
      </w:r>
      <w:r>
        <w:rPr>
          <w:rFonts w:ascii="Times New Roman" w:cs="Times New Roman" w:eastAsia="Times New Roman" w:hAnsi="Times New Roman"/>
          <w:sz w:val="18"/>
          <w:szCs w:val="18"/>
          <w:color w:val="auto"/>
        </w:rPr>
        <w:t>”) of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The interim condensed consolidated financial statements include the financial statements of Terra Innovatum Global N.V. and its subsidiaries. All intercompany balances and transactions have been eliminated. The interim condensed consolidated financial statements have been prepared on a going concern basis based on the Company’s cash and cash equivalents of $96,701 as of March 31, 2026 and the Company’s budgeted cash flows for the twelve months following the issuance date of June 30, 2026.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as of March 31, 2026 and for the three months ended March 31, 2026 and 2025, in the opinion of management, include all adjustments, consisting of normal recurring items, to present fairly the Company’s financial position, results of operations, and cash flows. The Company’s operating results for the three months ended March 31, 2026 are not necessarily indicative of the results to be expected for the full year. The interim condensed consolidated financial statements and related notes as of and for the three months ended March 31, 2026 have been prepared on the same basis as and should be read in conjunction with the audited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with the quarterly report on Form 10-Q for the three and nine months ended September 30, 2025, we have elected to present all dollar amounts rounded to the nearest thousand dollars.</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Prior to the closing of the Business Combination, Legacy Terra completed a series of restructuring transactions (the “</w:t>
      </w:r>
      <w:r>
        <w:rPr>
          <w:rFonts w:ascii="Times New Roman" w:cs="Times New Roman" w:eastAsia="Times New Roman" w:hAnsi="Times New Roman"/>
          <w:sz w:val="18"/>
          <w:szCs w:val="18"/>
          <w:b w:val="1"/>
          <w:bCs w:val="1"/>
          <w:color w:val="auto"/>
        </w:rPr>
        <w:t>Terra 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to establish a holding company structure. The Terra Pre-Closing Reorganization was accounted for as a transaction between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in accordance with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805-50. Accordingly, assets and liabilities were recorded at historical carrying amounts, and no goodwill, gain, or loss was recognized. As the reorganization resulted in a change in the reporting entity, the interim condensed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the Company are presented in U.S. dollars and include the accounts of the Company and its wholly owned subsidiaries. All intercompany balances and transactions have been eliminated in consolidation.</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determines whether to consolidate an entity based on whether it has a controlling financial interest under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ASC 810</w:t>
      </w:r>
      <w:r>
        <w:rPr>
          <w:rFonts w:ascii="Times New Roman" w:cs="Times New Roman" w:eastAsia="Times New Roman" w:hAnsi="Times New Roman"/>
          <w:sz w:val="18"/>
          <w:szCs w:val="18"/>
          <w:color w:val="auto"/>
        </w:rPr>
        <w:t>”). A controlling financial interest may be established through either (i) the variable interest entity (“</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model or (ii) the voting interest model (“</w:t>
      </w:r>
      <w:r>
        <w:rPr>
          <w:rFonts w:ascii="Times New Roman" w:cs="Times New Roman" w:eastAsia="Times New Roman" w:hAnsi="Times New Roman"/>
          <w:sz w:val="18"/>
          <w:szCs w:val="18"/>
          <w:b w:val="1"/>
          <w:bCs w:val="1"/>
          <w:color w:val="auto"/>
        </w:rPr>
        <w:t>VOE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w:t>
      </w:r>
    </w:p>
    <w:p>
      <w:pPr>
        <w:jc w:val="both"/>
        <w:ind w:firstLine="8"/>
        <w:spacing w:after="0" w:line="255"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all such entities are considered VOEs, and the Company applies the voting interest model and consolidates its subsidiaries based on its controlling financial interest, which is evidenced by 100% ownership of the voting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The Company’s reporting currency is the United States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while its functional currency is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which it uses for conducting business and maintaining its books and records. The accompanying interim condensed consolidated financial statements are presented in US$.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interim condensed consolidated statements of operations, as such amounts are considered an integral component of the overall fair value measurement. For other monetary assets and liabilities not measured at fair value, foreign exchange gains and losses are presented within other income (expense), net in the interim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609" w:gutter="0" w:footer="0" w:header="0"/>
        </w:sectPr>
      </w:pPr>
    </w:p>
    <w:bookmarkStart w:id="9" w:name="page10"/>
    <w:bookmarkEnd w:id="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830-30, </w:t>
      </w:r>
      <w:r>
        <w:rPr>
          <w:rFonts w:ascii="Times New Roman" w:cs="Times New Roman" w:eastAsia="Times New Roman" w:hAnsi="Times New Roman"/>
          <w:sz w:val="18"/>
          <w:szCs w:val="18"/>
          <w:i w:val="1"/>
          <w:iCs w:val="1"/>
          <w:color w:val="auto"/>
        </w:rPr>
        <w:t>Translation of Financial Statements</w:t>
      </w:r>
      <w:r>
        <w:rPr>
          <w:rFonts w:ascii="Times New Roman" w:cs="Times New Roman" w:eastAsia="Times New Roman" w:hAnsi="Times New Roman"/>
          <w:sz w:val="18"/>
          <w:szCs w:val="18"/>
          <w:color w:val="auto"/>
        </w:rPr>
        <w:t>, the Company and its subsidiary, Legacy Terra, translates its assets and liabilities from its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within the interim condensed consolidated statements of changes in shareholders’ deficit.</w:t>
      </w:r>
    </w:p>
    <w:p>
      <w:pPr>
        <w:spacing w:after="0" w:line="18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flows are translated at average exchange rates for the reporting period. As a result, the amounts presented in the interim condensed consolidated statements of cash flows may not directly reconcile with the corresponding changes in balances reported on the balance sheets.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foreign currency transaction gains recognized in the interim condensed consolidated statements of operations and comprehensive income, primarily from remeasurement of monetary assets and liabilities denominated in currencies other than the functional currency, totaled approximately $2,169 and are included in other income,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Derivative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warrants and other equity-linked financial instruments, including contingently issuable warrants, under ASC 815-40, </w:t>
      </w:r>
      <w:r>
        <w:rPr>
          <w:rFonts w:ascii="Times New Roman" w:cs="Times New Roman" w:eastAsia="Times New Roman" w:hAnsi="Times New Roman"/>
          <w:sz w:val="18"/>
          <w:szCs w:val="18"/>
          <w:i w:val="1"/>
          <w:iCs w:val="1"/>
          <w:color w:val="auto"/>
        </w:rPr>
        <w:t>Derivatives and Hedging—Contracts in an Entity’s Own Equity</w:t>
      </w:r>
      <w:r>
        <w:rPr>
          <w:rFonts w:ascii="Times New Roman" w:cs="Times New Roman" w:eastAsia="Times New Roman" w:hAnsi="Times New Roman"/>
          <w:sz w:val="18"/>
          <w:szCs w:val="18"/>
          <w:color w:val="auto"/>
        </w:rPr>
        <w:t>, and ASC 480-10,</w:t>
      </w:r>
      <w:r>
        <w:rPr>
          <w:rFonts w:ascii="Times New Roman" w:cs="Times New Roman" w:eastAsia="Times New Roman" w:hAnsi="Times New Roman"/>
          <w:sz w:val="18"/>
          <w:szCs w:val="18"/>
          <w:i w:val="1"/>
          <w:iCs w:val="1"/>
          <w:color w:val="auto"/>
        </w:rPr>
        <w:t xml:space="preserve"> Distinguishing Liabilities from Equity</w:t>
      </w:r>
      <w:r>
        <w:rPr>
          <w:rFonts w:ascii="Times New Roman" w:cs="Times New Roman" w:eastAsia="Times New Roman" w:hAnsi="Times New Roman"/>
          <w:sz w:val="18"/>
          <w:szCs w:val="18"/>
          <w:color w:val="auto"/>
        </w:rPr>
        <w:t>, to determine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and subsequent measurement.</w:t>
      </w:r>
    </w:p>
    <w:p>
      <w:pPr>
        <w:spacing w:after="0" w:line="176" w:lineRule="exact"/>
        <w:rPr>
          <w:sz w:val="20"/>
          <w:szCs w:val="20"/>
          <w:color w:val="auto"/>
        </w:rPr>
      </w:pPr>
    </w:p>
    <w:p>
      <w:pPr>
        <w:jc w:val="both"/>
        <w:ind w:firstLine="453"/>
        <w:spacing w:after="0" w:line="266" w:lineRule="auto"/>
        <w:rPr>
          <w:sz w:val="20"/>
          <w:szCs w:val="20"/>
          <w:color w:val="auto"/>
        </w:rPr>
      </w:pPr>
      <w:r>
        <w:rPr>
          <w:rFonts w:ascii="Times New Roman" w:cs="Times New Roman" w:eastAsia="Times New Roman" w:hAnsi="Times New Roman"/>
          <w:sz w:val="18"/>
          <w:szCs w:val="18"/>
          <w:color w:val="auto"/>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resolution of a contingency for instruments that qualify for equity classification, any previously liability-classified warrants are reclassified to equity at their fair value on the resolution date and are not remeasured thereafter.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Share-settled Contingent Liabilities</w:t>
      </w:r>
    </w:p>
    <w:p>
      <w:pPr>
        <w:spacing w:after="0" w:line="229"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spacing w:after="0" w:line="183"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interim condensed consolidated statements of operations and comprehensive income. The liability is derecognized upon settlement or extinguishment of the underlying obligation.</w:t>
      </w:r>
    </w:p>
    <w:p>
      <w:pPr>
        <w:spacing w:after="0" w:line="180"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Shares</w:t>
      </w:r>
    </w:p>
    <w:p>
      <w:pPr>
        <w:spacing w:after="0" w:line="229"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Company is domiciled in the Netherlands. However, it is subject to taxation under Italian tax laws. The Company is not currently subject to U.S. federal or state income taxes on its operations.</w:t>
      </w:r>
    </w:p>
    <w:p>
      <w:pPr>
        <w:spacing w:after="0" w:line="160" w:lineRule="exact"/>
        <w:rPr>
          <w:sz w:val="20"/>
          <w:szCs w:val="20"/>
          <w:color w:val="auto"/>
        </w:rPr>
      </w:pPr>
    </w:p>
    <w:p>
      <w:pPr>
        <w:jc w:val="both"/>
        <w:ind w:lef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tax assets and liabilities are recognized for the estimated future tax consequences attributable to differences between financial statement carrying amounts of existing assets and liabilities and their respective tax bases. Deferred tax assets and liabilities are measured using enacted rates in effect for the year in which these temporary differences are expected to be recovered or settled. Valuation allowances are provided if, based on the weight of available evidence, it is more likely than not that some or all of the deferred tax assets will not be realized. Management believes that it is more likely than not that all deferred tax assets will not be realized.</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11" w:name="page12"/>
    <w:bookmarkEnd w:id="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liabilities for potential tax payments to various tax authorities related to uncertain tax positions. The liabilities are based on a determination of whether and how much of a tax benefit taken by the Company in its tax filing is more likely than not to be realized following resolution of any potential contingencies present related to the tax benefit. Potential interest and penalties associated with such uncertain tax positions, if any, are recorded as components of income tax expense.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 percent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Subsequently, in January 2025, the FASB issued ASU No. 2025-01 to clarify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this guidance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interim condensed consolidated financial statements.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606): Derivative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is permitted. The Company is currently evaluating the impact of the adoption of this pronouncement, if 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 2025, the Company entered into a lease agreement with Nine Nuclear and Industrial Engineering S.R.L.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color w:val="auto"/>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 w:cs="Times New Roman" w:eastAsia="Times New Roman" w:hAnsi="Times New Roman"/>
          <w:sz w:val="18"/>
          <w:szCs w:val="18"/>
          <w:b w:val="1"/>
          <w:bCs w:val="1"/>
          <w:color w:val="auto"/>
        </w:rPr>
        <w:t>Lease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with the total monthly amount to be paid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month. The Lease Fee will be updated annually by 75% of the variation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official consumer price indices for worker and employee families as determined by the Italian Statistics Day (“</w:t>
      </w:r>
      <w:r>
        <w:rPr>
          <w:rFonts w:ascii="Times New Roman" w:cs="Times New Roman" w:eastAsia="Times New Roman" w:hAnsi="Times New Roman"/>
          <w:sz w:val="18"/>
          <w:szCs w:val="18"/>
          <w:b w:val="1"/>
          <w:bCs w:val="1"/>
          <w:color w:val="auto"/>
        </w:rPr>
        <w:t>ISTAT</w:t>
      </w:r>
      <w:r>
        <w:rPr>
          <w:rFonts w:ascii="Times New Roman" w:cs="Times New Roman" w:eastAsia="Times New Roman" w:hAnsi="Times New Roman"/>
          <w:sz w:val="18"/>
          <w:szCs w:val="18"/>
          <w:color w:val="auto"/>
        </w:rPr>
        <w:t>”) in the previous year and subsequently year by year, with the first update taking effect on April 1, 2026. During the three months ended March 31, 2026, the Company paid $3 in rent.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Services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The costs associated with these services were expensed during the three months ended March 31, 2026. Any unpaid amounts as of quarter-end are included in accrued expenses and other current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added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Technical consultancy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interest accrued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3,148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Equipment,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net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not in service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equipment was $6 and $0 during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tcPr>
          <w:p>
            <w:pPr>
              <w:spacing w:after="0"/>
              <w:rPr>
                <w:sz w:val="21"/>
                <w:szCs w:val="21"/>
                <w:color w:val="auto"/>
              </w:rPr>
            </w:pPr>
          </w:p>
        </w:tc>
        <w:tc>
          <w:tcPr>
            <w:tcW w:w="39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accounting and other professional services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added tax payable</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consultancy</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compensation</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Wages payable</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3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vMerge w:val="continue"/>
            <w:shd w:val="clear" w:color="auto" w:fill="CCEEFF"/>
          </w:tcPr>
          <w:p>
            <w:pPr>
              <w:spacing w:after="0"/>
              <w:rPr>
                <w:sz w:val="21"/>
                <w:szCs w:val="21"/>
                <w:color w:val="auto"/>
              </w:rPr>
            </w:pP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2,009</w:t>
            </w:r>
          </w:p>
        </w:tc>
        <w:tc>
          <w:tcPr>
            <w:tcW w:w="0" w:type="dxa"/>
            <w:vAlign w:val="bottom"/>
          </w:tcPr>
          <w:p>
            <w:pPr>
              <w:spacing w:after="0"/>
              <w:rPr>
                <w:sz w:val="1"/>
                <w:szCs w:val="1"/>
                <w:color w:val="auto"/>
              </w:rPr>
            </w:pPr>
          </w:p>
        </w:tc>
      </w:tr>
      <w:tr>
        <w:trPr>
          <w:trHeight w:val="21"/>
        </w:trPr>
        <w:tc>
          <w:tcPr>
            <w:tcW w:w="47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the Company’s cash and cash equivalents, prepaid expenses and other current assets, accounts receivable, accounts payable and other non-current liabilities approximate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Recorded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Share-settled Contingent Liability</w:t>
      </w:r>
    </w:p>
    <w:p>
      <w:pPr>
        <w:spacing w:after="0" w:line="22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At the consummation of the Business Combination on October 9, 2025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Company entered into share-settled arrangements involving (i) contingently Convertible Preferred Shares issued to former Terra Innovatum Global Srl. quotaholders and (ii) contingently vesting GSR III Sponsor LLC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ordinary shares subject to market-based and regulatory milestones. These arrangements may result in the issuance or vesting of a variable number of ordinary shares and are not solely indexed to the Company’s stock price. As a result, they were initially classified and measured as liabilities at fair value, with the related amounts recorded within share-settled contingent liability in the consolidated balance sheet.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16, 2025, certain milestones were achieved, resulting in the settlement of a portion of these arrangements. Immediately prior to settlement, the corresponding share-settled contingent liability was remeasured to fair value. Upon settlement, the related liability was reclassified to equity.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unearned milestone tranches remain classified as share-settled contingent liabilities and are remeasured at fair value at each reporting date, with changes recognized in earnings until the applicable milestones are achieved or expire.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estimated fair value of the Share-Settled Contingent Liability using significant Level 3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Loss recognized in earnings due to change of fair value, net of foreign currency remeasurement impact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(3,798)</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185,860</w:t>
            </w:r>
          </w:p>
        </w:tc>
        <w:tc>
          <w:tcPr>
            <w:tcW w:w="10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estimated the fair value of the Share-Settled Contingent Liability using the Monte Carlo option pricing model with the following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4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3.61 - 4.74%</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interim condensed consolidated statements of operations and comprehensive income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the valuation relies on significant unobservable inputs, the liability-classified warrants are classified within Level 3 of the fair value hierarchy.</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the valuation of the liability-classified warrants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Bridge Loan</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there were no transfers between levels of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warrants to certain investors to purchase up to 1,000,000 ordinary shares at an exercise price of $7.00 per share. The warrants are exercisable for a term of five years and are classified as equity. These warrants were issued in exchange for advisory services and accounted for as share-based compensation under ASC 718.</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Liability-Classified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outstanding warrants issued in connection with the PIPE financing and prior bridge arrangements. These warrants are exercisable at prices ranging from $11.50 to $16.00 per share and have terms of up to five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are classified as liabilities as they are not considered indexed to the Company’s functional currency in accordance with ASC 815-40. As a result, the warrants are recorded at fair value upon issuance and remeasured at fair value at each reporting date, with changes in fair value recognized in the interim condensed consolidated statements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these warrants were issued in connection with bridge loans that were outstanding prior to the Business Combination and were converted into equity at Closing.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the Company’s warrant liabilities for the period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Bridge Loan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(gain) recognized in earnings due to change in fair value, net of foreign currency remeasurement impact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7 – Fair Value Measurements for additional information regarding the valuation of the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Deficit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500,000,000 ordinary shares with a par value of €0.01 per share and 8,040 convertible preferred shares with a par value of €100 per share. Upon conversion of one or more of the convertible preferred shares into ordinary shares, the authorized share capital shall decrease with the number of convertible preferred shares so converted and shall increase with the number of ordinary shares into which such convertible preferred shares were converted.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Vesting Sponsor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549,500 ordinary shares were issued as vesting Sponsor shares. As of March 31, 2026, approximately 50% of these shares have vested, with the remaining shares subject to vesting conditions. The unvested shares are classified as a share-settled contingent liability in the consolidated balance sheets.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8,000 convertible preferred shares that are mandatorily convertible into ordinary shares upon achievement of specified milestones. As of March 31, 2026, 4,000 shares have converted into ordinary shares, and the remaining 4,000 shares are outstanding and classified as share-settled contingent liabilities.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SPAC Financial Advisor Preferred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40 convertible preferred shares to a financial advisor as share-based compensation. As of March 31, 2026, 20 shares have converted into ordinary shares and 20 remain outstanding. These awards are classified in equity and accounted for under ASC 718.</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 Warrants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and Advisory Services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an investor relations and advisory agreement under which it pays a fixed monthly fee, along with certain variable charges. The agreement remains in effect through April 30, 2026 and automatically renews unless terminated.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Advisory Agreements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capital markets advisory agreements with third-party service providers. These agreements include fixed fee commitments payable over contractual terms ranging from approximately one to two years. Certain agreements include customary termination and change-in-control provisions.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Development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third-party vendors to support engineering, licensing, and development activities related to the SOLO project. Payments under these agreements are based on contractual milestones, time-based services, or invoiced amounts.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Advisor Agreement</w:t>
      </w:r>
    </w:p>
    <w:p>
      <w:pPr>
        <w:spacing w:after="0" w:line="229" w:lineRule="exact"/>
        <w:rPr>
          <w:sz w:val="20"/>
          <w:szCs w:val="20"/>
          <w:color w:val="auto"/>
        </w:rPr>
      </w:pPr>
    </w:p>
    <w:p>
      <w:pPr>
        <w:jc w:val="both"/>
        <w:ind w:firstLine="381"/>
        <w:spacing w:after="0" w:line="266" w:lineRule="auto"/>
        <w:rPr>
          <w:sz w:val="20"/>
          <w:szCs w:val="20"/>
          <w:color w:val="auto"/>
        </w:rPr>
      </w:pPr>
      <w:r>
        <w:rPr>
          <w:rFonts w:ascii="Times New Roman" w:cs="Times New Roman" w:eastAsia="Times New Roman" w:hAnsi="Times New Roman"/>
          <w:sz w:val="18"/>
          <w:szCs w:val="18"/>
          <w:color w:val="auto"/>
        </w:rPr>
        <w:t>The Company has an agreement with an independent contractor providing strategic advisory services. Compensation under the agreement includes potential equity-based awards and a commission on qualifying business opportunities. As of March 31, 2026, no equity awards have been granted under this arrangement.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229" w:lineRule="exact"/>
        <w:rPr>
          <w:sz w:val="20"/>
          <w:szCs w:val="20"/>
          <w:color w:val="auto"/>
        </w:rPr>
      </w:pPr>
    </w:p>
    <w:p>
      <w:pPr>
        <w:jc w:val="both"/>
        <w:ind w:firstLine="465"/>
        <w:spacing w:after="0" w:line="282" w:lineRule="auto"/>
        <w:rPr>
          <w:sz w:val="20"/>
          <w:szCs w:val="20"/>
          <w:color w:val="auto"/>
        </w:rPr>
      </w:pPr>
      <w:r>
        <w:rPr>
          <w:rFonts w:ascii="Times New Roman" w:cs="Times New Roman" w:eastAsia="Times New Roman" w:hAnsi="Times New Roman"/>
          <w:sz w:val="18"/>
          <w:szCs w:val="18"/>
          <w:color w:val="auto"/>
        </w:rPr>
        <w:t>On January 2, 2026, the Company entered into a lease for office space in Lucca, Italy, with a noncancelable term commencing April 1, 2026 and expiring March 31, 2032. The lease provides for annual base rent of approximately $88 (€75), subject to escalation.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completed a business combination on October 9, 2025, which was accounted for as a recapitalization. Accordingly, historical share information has been retroactively restated to reflect 47,500,000 ordinary shares for periods prior to Closing.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attributable to ordinary shareholders were calculated as follows (in thousands except share and per share amounts):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Weighted-average ordinary shares outstanding – basic and diluted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445"/>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110,226,198</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47,500,000</w:t>
            </w:r>
          </w:p>
        </w:tc>
        <w:tc>
          <w:tcPr>
            <w:tcW w:w="60" w:type="dxa"/>
            <w:vAlign w:val="bottom"/>
          </w:tcPr>
          <w:p>
            <w:pPr>
              <w:spacing w:after="0"/>
              <w:rPr>
                <w:sz w:val="24"/>
                <w:szCs w:val="24"/>
                <w:color w:val="auto"/>
              </w:rPr>
            </w:pP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r>
              <w:rPr>
                <w:rFonts w:ascii="Times New Roman" w:cs="Times New Roman" w:eastAsia="Times New Roman" w:hAnsi="Times New Roman"/>
                <w:sz w:val="35"/>
                <w:szCs w:val="35"/>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r>
              <w:rPr>
                <w:rFonts w:ascii="Times New Roman" w:cs="Times New Roman" w:eastAsia="Times New Roman" w:hAnsi="Times New Roman"/>
                <w:sz w:val="35"/>
                <w:szCs w:val="35"/>
                <w:color w:val="auto"/>
                <w:vertAlign w:val="superscript"/>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no instruments were dilutive. Potential ordinary shares related to share-settled contingent liabilities, unvested Sponsor shares, and certain equity awards were excluded from diluted EPS as the applicable issuance or vesting conditions were not satisfied as of the reporting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 w:name="page18"/>
    <w:bookmarkEnd w:id="1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liability-classified PIPE and Bridge Warrants and equity-classified warrants were evaluated under the treasury stock method. For the three months ended March 31, 2026, the average market price of the Company’s ordinary shares was below the exercise prices of all outstanding warrants; accordingly, all such instruments were anti-dilutive and therefore excluded from diluted EPS.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anti-dilutive instruments represented approximately 5,475,591 potential ordinary shares as of March 31, 2026. As a result, diluted net loss per share equals basic net loss per share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 development-stage nuclear energy technology company focused on the research, development, and future commercialization of its SOLO micro-modular nuclear reactor. The chief operating decision maker (“CODM”),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no income tax benefit or expense on a pretax loss of $7,106, resulting in an effective tax rate of 0%. The Company maintained a full valuation allowance against its net deferred tax assets as of March 31, 2026, based on its determination that it is more likely than not that the Company’s net deferred tax assets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June 30, 2026, the date the interim condensed consolidated financial statements were available to be issued, and determined that there have been no events that have occurred that would require adjustments to disclosures in the interim condensed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Terra Innovatum Global N.V. management believes is relevant to an assessment and understanding of Terra Innovatum Global N.V.’s results of operations and financial condition. This discussion should be read together with Terra Innovatum Global N.V.’s unaudited interim condensed consolidated financial statements as of and for the three months ended March 31, 2026 and 2025, and the related notes included elsewhere in this Form 10-Q.</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based upon current expectations that involve risks and uncertainties. Terra Innovatum Global N.V.’s actual results may differ materially from those anticipated in these forward-looking statements as a result of various factors, including those set forth under “Risk Factors” or in other parts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We are a pioneering nuclear energy technology company developing the SOLO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Micro-Modular Nuclear Reactor (“</w:t>
      </w:r>
      <w:r>
        <w:rPr>
          <w:rFonts w:ascii="Times New Roman" w:cs="Times New Roman" w:eastAsia="Times New Roman" w:hAnsi="Times New Roman"/>
          <w:sz w:val="18"/>
          <w:szCs w:val="18"/>
          <w:b w:val="1"/>
          <w:bCs w:val="1"/>
          <w:color w:val="auto"/>
        </w:rPr>
        <w:t>SOLO</w:t>
      </w:r>
      <w:r>
        <w:rPr>
          <w:rFonts w:ascii="Times New Roman" w:cs="Times New Roman" w:eastAsia="Times New Roman" w:hAnsi="Times New Roman"/>
          <w:sz w:val="18"/>
          <w:szCs w:val="18"/>
          <w:color w:val="auto"/>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geographies and 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which significantly reduces regulatory and technological barriers typical in nuclear energy development. We have made substantial progress in de-risking our First-of-a-Kind (“</w:t>
      </w:r>
      <w:r>
        <w:rPr>
          <w:rFonts w:ascii="Times New Roman" w:cs="Times New Roman" w:eastAsia="Times New Roman" w:hAnsi="Times New Roman"/>
          <w:sz w:val="18"/>
          <w:szCs w:val="18"/>
          <w:b w:val="1"/>
          <w:bCs w:val="1"/>
          <w:color w:val="auto"/>
        </w:rPr>
        <w:t>FOAK</w:t>
      </w:r>
      <w:r>
        <w:rPr>
          <w:rFonts w:ascii="Times New Roman" w:cs="Times New Roman" w:eastAsia="Times New Roman" w:hAnsi="Times New Roman"/>
          <w:sz w:val="18"/>
          <w:szCs w:val="18"/>
          <w:color w:val="auto"/>
        </w:rPr>
        <w:t>”) reactor, including initiating regulatory engagement with the U.S. Nuclear Regulatory Commission (“</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and establishing a robust supply chain strategy. We have completed the reactor design sufficiently to support component fabrication and NRC licensing, validated key technological components, and are targeting licensing and deployment of the FOAK reactor by 2028.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 2026, we entered into a lease for office space in Lucca, Italy, with a noncancelable term commencing April 1, 2026 and expiring March 31, 2032. The lease provides for annual base rent of approximately $88 (€75), subject to escalation.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Performance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we reported a net loss of $7,106 and $1,448, respectively. Net cash used in operating activities was $3,856 for the three months ended March 31, 2026 compared to net cash used of $199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 and 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factors and trends may cause previously reported financial information not to be necessarily indicative of future operating results or future financial conditions:</w:t>
      </w:r>
    </w:p>
    <w:p>
      <w:pPr>
        <w:spacing w:after="0" w:line="15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Development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commercial rollout of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and Investment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w:t>
      </w:r>
    </w:p>
    <w:p>
      <w:pPr>
        <w:spacing w:after="0" w:line="18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Macroeconomic Conditions and Global Market Dynamics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spacing w:after="0" w:line="17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 Dynamics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 Our current assembly preparation in Europe for reactor deployment in the U.S. introduces additional complexity in navigating international trade regulations, currency exchange risks, and logistical challenges.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 and Cost Pressures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Inflationary trends represent a risk to our development trajectory. Escalating costs in specialized manufacturing, regulatory compliance, technical talent acquisition, and raw material procurement could potentially erode our projected economic advantages.</w:t>
      </w:r>
    </w:p>
    <w:p>
      <w:pPr>
        <w:spacing w:after="0" w:line="1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Market Evolution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mitigate the AI-driven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and Geopolitical Landscape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spacing w:after="0" w:line="17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and Labor Market Dynamics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spacing w:after="0" w:line="17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Uncertainty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102(b)(1) of the Jumpstart Our Business Startups Act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no longer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development-stage nuclear energy technology company focused on the research, development, and future commercialization of our SOLO micro-modular nuclear reactor. Our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We have not generated revenue from external customers, as our SOLO product remains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advisory fees, legal fees, audit, accounting, professional services fees, insurance, Board of Director compensation, development costs, transportation, food and lodging, conference and seminar registration fees, advertising, rental, filing fees, employee benefits, consultancy fees, representation expenses, commissions, and other miscellaneous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 income, net primarily consists of foreign currency transaction gains and losses, as well as interest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share settled contingent liability</w:t>
      </w:r>
    </w:p>
    <w:p>
      <w:pPr>
        <w:spacing w:after="0" w:line="227" w:lineRule="exact"/>
        <w:rPr>
          <w:sz w:val="20"/>
          <w:szCs w:val="20"/>
          <w:color w:val="auto"/>
        </w:rPr>
      </w:pPr>
    </w:p>
    <w:p>
      <w:pPr>
        <w:ind w:right="220" w:firstLine="324"/>
        <w:spacing w:after="0" w:line="500" w:lineRule="auto"/>
        <w:rPr>
          <w:sz w:val="20"/>
          <w:szCs w:val="20"/>
          <w:color w:val="auto"/>
        </w:rPr>
      </w:pPr>
      <w:r>
        <w:rPr>
          <w:rFonts w:ascii="Times New Roman" w:cs="Times New Roman" w:eastAsia="Times New Roman" w:hAnsi="Times New Roman"/>
          <w:sz w:val="18"/>
          <w:szCs w:val="18"/>
          <w:color w:val="auto"/>
        </w:rPr>
        <w:t xml:space="preserve">The change in fair value — share settled contingent liability consists of the change in fair value of certain issuances of Convertible Preferred Shares. </w:t>
      </w:r>
      <w:r>
        <w:rPr>
          <w:rFonts w:ascii="Times New Roman" w:cs="Times New Roman" w:eastAsia="Times New Roman" w:hAnsi="Times New Roman"/>
          <w:sz w:val="18"/>
          <w:szCs w:val="18"/>
          <w:i w:val="1"/>
          <w:iCs w:val="1"/>
          <w:color w:val="auto"/>
        </w:rPr>
        <w:t>Change in fair value — warrant liabilities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fair value — warrant liabilities consists of the change in fair value of certain PIPE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 (or benefit) for income taxes consists of the expense or income related to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Three Months Ended March 31, 2026 Compared to the Three Months Ended March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for the periods indicated and the changes between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40" w:type="dxa"/>
            <w:vAlign w:val="bottom"/>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5"/>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3,980</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3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1,238</w:t>
            </w:r>
          </w:p>
        </w:tc>
        <w:tc>
          <w:tcPr>
            <w:tcW w:w="3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r>
      <w:tr>
        <w:trPr>
          <w:trHeight w:val="236"/>
        </w:trPr>
        <w:tc>
          <w:tcPr>
            <w:tcW w:w="5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9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(6,634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(1,449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5,185</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358</w:t>
            </w:r>
          </w:p>
        </w:tc>
        <w:tc>
          <w:tcPr>
            <w:tcW w:w="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2,779</w:t>
            </w: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 share settled contingent liability</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(3,335)</w:t>
            </w:r>
          </w:p>
        </w:tc>
        <w:tc>
          <w:tcPr>
            <w:tcW w:w="3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(3,335)</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49"/>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 warrant liabilities</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9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NM</w:t>
            </w:r>
          </w:p>
        </w:tc>
        <w:tc>
          <w:tcPr>
            <w:tcW w:w="240" w:type="dxa"/>
            <w:vAlign w:val="bottom"/>
            <w:tcBorders>
              <w:top w:val="single" w:sz="8" w:color="CCEEFF"/>
              <w:bottom w:val="single" w:sz="8" w:color="CCEEFF"/>
            </w:tcBorders>
          </w:tcPr>
          <w:p>
            <w:pPr>
              <w:spacing w:after="0"/>
              <w:rPr>
                <w:sz w:val="18"/>
                <w:szCs w:val="18"/>
                <w:color w:val="auto"/>
              </w:rPr>
            </w:pPr>
          </w:p>
        </w:tc>
      </w:tr>
      <w:tr>
        <w:trPr>
          <w:trHeight w:val="236"/>
        </w:trPr>
        <w:tc>
          <w:tcPr>
            <w:tcW w:w="5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10"/>
        </w:trPr>
        <w:tc>
          <w:tcPr>
            <w:tcW w:w="59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$3,980 for the three months ended March 31, 2026 compared to the same period in 2025 primarily due to increases of (i) $2,359 for compensation to third parties, (ii) $644 for insurance, (iii) $458 for Board of Director compensation, (iv) $144 for development costs, (v) $125 for transportation, (vi) $69 for food and lodging, (vii) $51 for conference and seminar registration fees, (viii) $33 for advertising, (ix) $31 for professional fees, (x) $23 for rental, and (xi) $21 for filing fees. The remaining $22 net change is primarily driven by employee benefits, consultancy fees, representation expenses, commissions, and other miscellaneous expenses.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 costs increased by $1,205 for the three months ended March 31, 2026 compared to the same period in 2025 primarily due to increases of</w:t>
      </w:r>
    </w:p>
    <w:p>
      <w:pPr>
        <w:spacing w:after="0" w:line="27" w:lineRule="exact"/>
        <w:rPr>
          <w:sz w:val="20"/>
          <w:szCs w:val="20"/>
          <w:color w:val="auto"/>
        </w:rPr>
      </w:pPr>
    </w:p>
    <w:p>
      <w:pPr>
        <w:ind w:firstLine="8"/>
        <w:spacing w:after="0" w:line="260" w:lineRule="auto"/>
        <w:tabs>
          <w:tab w:leader="none" w:pos="2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$1,059 in technical consultancy fees, (ii) $68 in salaries and wages, (iii) $53 in other payroll and benefits, and (iv) $24 in employee income tax withholding. The remaining $1 increase is primarily driven by travel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was $2,780 for the three months ended March 31, 2026, which primarily consists of $2,168 of net foreign currency gains and $612 of interest income. Other income, net was $1 for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share settled contingent liability</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a $3,335 unrealized loss in fair value attributable to the change in fair value of the share settled contingent liability for the three months ended March 31, 2026. There was no share settled contingent liability during the same period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warrant liabilities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$83 unrealized gain in fair value attributable to warrant liabilities for the three months ended March 31, 2026 consists of the change in fair value of certain PIPE warrants. There was no warrant liability during the same period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income taxes was $0 for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2026 was $7,106 compared to $1,448 for the three months ended March 31, 2025. The $5,658 net change was primarily due to the $5,185 increase in operating expenses and $3,335 change in fair value of the share settled contingent liability. These increases were partially offset by increases of $2,779 in other income, net and $83 in fair value of warrant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had cash of $96,701 and an accumulated deficit of approximately $614,382. Net cash used in operating activities was $3,856 for the three months ended March 31, 2026. We have historically incurred recurring operating losses and generated negative cash flows from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our net cash flows for the three months ended March 31, 2026 and 2025:</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by operating activities for the three months ended March 31, 2026 was $3,856. This amount was primarily driven by (i) net loss of $7,106, (ii) non-cash adjustments of $3,038, (iii) net working capital decreases of $195, and (iv) an increase in other non-current liabilities of $17.</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by operating activities for the three months ended March 31, 2025 was $199. This amount was primarily attributable to (i) net loss of $1,448, (ii) non-cash adjustments of $46, and (iii) net working capital decreases of $1,203.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for the three months ended March 31, 2026 was $328, which was related to the purchases of equipment. There was no net cash from investing activities during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net cash from financing activities during the three months ended March 31, 2026. Net cash provided by financing activities for the three months ended March 31, 2025 consisted of proceeds of $172 from an interest-free loan agreement that we entered into with our shareholders on December 18,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3. “Related Party Transactions” of the Notes to our Financial Statements included elsewhere in this Form 10-Q for a discussion of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and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Notes to our Financial Statements included elsewhere in this Form 10-Q for a discussion of recent accounting standards and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Exchange Act of 1934, as amended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March 31, 2026, our disclosure controls and procedures were not effective because of certain material weaknesses in our internal control over financial reporting, as further described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Report on Internal Control Over Financial Reporting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March 31, 2026. In making this assessment, management used the criteria set forth by the Committee of Sponsoring Organizations of the Treadway Commission in the 2013 Internal Control-Integrated Framework (or </w:t>
      </w:r>
      <w:r>
        <w:rPr>
          <w:rFonts w:ascii="Times New Roman" w:cs="Times New Roman" w:eastAsia="Times New Roman" w:hAnsi="Times New Roman"/>
          <w:sz w:val="18"/>
          <w:szCs w:val="18"/>
          <w:b w:val="1"/>
          <w:bCs w:val="1"/>
          <w:color w:val="auto"/>
        </w:rPr>
        <w:t>“COSO Framework”</w:t>
      </w:r>
      <w:r>
        <w:rPr>
          <w:rFonts w:ascii="Times New Roman" w:cs="Times New Roman" w:eastAsia="Times New Roman" w:hAnsi="Times New Roman"/>
          <w:sz w:val="18"/>
          <w:szCs w:val="18"/>
          <w:color w:val="auto"/>
        </w:rPr>
        <w:t>). Based on its evaluation, management has concluded that we did not maintain effective internal control over financial reporting as of March 31, 2026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 Material Weakness in Internal Controls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spacing w:after="0" w:line="199" w:lineRule="exact"/>
        <w:rPr>
          <w:sz w:val="20"/>
          <w:szCs w:val="20"/>
          <w:color w:val="auto"/>
        </w:rPr>
      </w:pPr>
    </w:p>
    <w:p>
      <w:pPr>
        <w:jc w:val="both"/>
        <w:ind w:left="740" w:right="20" w:hanging="354"/>
        <w:spacing w:after="0" w:line="256"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sufficient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p>
      <w:pPr>
        <w:spacing w:after="0" w:line="240" w:lineRule="exact"/>
        <w:rPr>
          <w:rFonts w:ascii="Times New Roman" w:cs="Times New Roman" w:eastAsia="Times New Roman" w:hAnsi="Times New Roman"/>
          <w:sz w:val="18"/>
          <w:szCs w:val="18"/>
          <w:color w:val="auto"/>
        </w:rPr>
      </w:pPr>
    </w:p>
    <w:p>
      <w:pPr>
        <w:jc w:val="both"/>
        <w:ind w:left="740" w:right="40" w:hanging="354"/>
        <w:spacing w:after="0" w:line="258"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an SEC registrant.</w:t>
      </w:r>
    </w:p>
    <w:p>
      <w:pPr>
        <w:spacing w:after="0" w:line="237" w:lineRule="exact"/>
        <w:rPr>
          <w:rFonts w:ascii="Times New Roman" w:cs="Times New Roman" w:eastAsia="Times New Roman" w:hAnsi="Times New Roman"/>
          <w:sz w:val="18"/>
          <w:szCs w:val="18"/>
          <w:color w:val="auto"/>
        </w:rPr>
      </w:pPr>
    </w:p>
    <w:p>
      <w:pPr>
        <w:jc w:val="both"/>
        <w:ind w:left="740" w:right="40" w:hanging="354"/>
        <w:spacing w:after="0" w:line="258"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p>
      <w:pPr>
        <w:spacing w:after="0" w:line="237" w:lineRule="exact"/>
        <w:rPr>
          <w:rFonts w:ascii="Times New Roman" w:cs="Times New Roman" w:eastAsia="Times New Roman" w:hAnsi="Times New Roman"/>
          <w:sz w:val="18"/>
          <w:szCs w:val="18"/>
          <w:color w:val="auto"/>
        </w:rPr>
      </w:pPr>
    </w:p>
    <w:p>
      <w:pPr>
        <w:ind w:left="740" w:right="40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monitoring program to assess whether internal controls over financial reporting are present and operating effectively on an ongoing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material weaknesses created a reasonable possibility that a material misstatement of our annual or interim financial statements will not be prevented or detected on a timely basis as of March 31, 2026.</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developed a plan to remediate the identified material weaknesses, and we expect to begin implementing these remediation efforts in 2026 and to include the following measures:</w:t>
      </w:r>
    </w:p>
    <w:p>
      <w:pPr>
        <w:spacing w:after="0" w:line="189" w:lineRule="exact"/>
        <w:rPr>
          <w:sz w:val="20"/>
          <w:szCs w:val="20"/>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 Sarbanes-Oxley compliance program owner;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Sarbanes-Oxley advisors to provide training and advisory support;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need for additional qualified finance headcount;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audit committee reporting on internal control status;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formal de-SPAC transition impact assessment on internal controls, including documenting the gap between current-state controls and SOX requirements as the baseline for the remediation roadmap;</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formal fraud risk assessment over financial reporting and reporting the results to the Audit Committee;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SOX policies and procedures and control templates;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data validation protocols for all control inputs;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SOC-1 reports for key third-party vendors and completing CUEC mapping;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scoping and commencing an IT general controls assessment with support from an IT audit specialist.</w:t>
      </w:r>
    </w:p>
    <w:p>
      <w:pPr>
        <w:spacing w:after="0" w:line="24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quarter ended March 31, 2026, in our internal control over financial reporting that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7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Exchange Act Rules 13a-14(a) and 15d-14(a), as adopted pursuant to Section 302 of</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Exchange Act Rules 13a-14(a) and 15d-14(a), as adopted pursuant to Section 302 of</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iXBRL tags are embedded</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from the Company’s Quarterly Report on Form 10-Q for the period ended March 31, 2026 formatted in Inline XBRL (included</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Exhibit 101).</w:t>
            </w:r>
          </w:p>
        </w:tc>
      </w:tr>
    </w:tbl>
    <w:p>
      <w:pPr>
        <w:spacing w:after="0" w:line="225" w:lineRule="exact"/>
        <w:rPr>
          <w:sz w:val="20"/>
          <w:szCs w:val="20"/>
          <w:color w:val="auto"/>
        </w:rPr>
      </w:pPr>
    </w:p>
    <w:p>
      <w:pPr>
        <w:ind w:left="380" w:hanging="345"/>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b w:val="1"/>
          <w:bCs w:val="1"/>
          <w:color w:val="auto"/>
        </w:rPr>
        <w:t>Terra Innovatum Global N.V.</w:t>
      </w:r>
    </w:p>
    <w:p>
      <w:pPr>
        <w:spacing w:after="0" w:line="2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Katherine Williams</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3" w:right="6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Alessandro Petruzzi,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Terra Innovatum Global N.V.;</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Alessandro Petruzzi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Williams,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Terra Innovatum Global N.V.;</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Williams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Quarterly Report of Terra Innovatum Global N.V. (the “Company”) on Form 10-Q for the period ended March 31, 2026 as filed with the Securities and Exchange Commission on the date hereof (the “Report”), the undersigned Alessandro Petruzzi, Chief Executive Officer (Principal Executive Officer) of the Company, certifies, pursuant to 18 U.S.C. Section 1350, as adopted pursuant to Section 906 of the Sarbanes-Oxley Act of 2002, that:</w:t>
      </w:r>
    </w:p>
    <w:p>
      <w:pPr>
        <w:spacing w:after="0" w:line="185" w:lineRule="exact"/>
        <w:rPr>
          <w:sz w:val="20"/>
          <w:szCs w:val="20"/>
          <w:color w:val="auto"/>
        </w:rPr>
      </w:pPr>
    </w:p>
    <w:p>
      <w:pPr>
        <w:ind w:left="880" w:hanging="494"/>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Alessandro Petruzzi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Terra Innovatum Global N.V. and will be retained by Terra Innovatum Global N.V. and furnished to the Securities and Exchange Commission or its staff upon request.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Quarterly Report of Terra Innovatum Global N.V. (the “Company”) on Form 10-Q for the period ended March 31, 2026 as filed with the Securities and Exchange Commission on the date hereof (the “Report”), the undersigned Katherine Williams, Chief Financial Officer (Principal Financial and Accounting Officer) of the Company, certifies, pursuant to 18 U.S.C. Section 1350, as adopted pursuant to Section 906 of the Sarbanes-Oxley Act of 2002, that:</w:t>
      </w:r>
    </w:p>
    <w:p>
      <w:pPr>
        <w:spacing w:after="0" w:line="207" w:lineRule="exact"/>
        <w:rPr>
          <w:sz w:val="20"/>
          <w:szCs w:val="20"/>
          <w:color w:val="auto"/>
        </w:rPr>
      </w:pPr>
    </w:p>
    <w:p>
      <w:pPr>
        <w:ind w:left="880" w:hanging="49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Williams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Terra Innovatum Global N.V. and will be retained by Terra Innovatum Global N.V. and furnished to the Securities and Exchange Commission or its staff upon request.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3"/>
    </w:lvl>
    <w:lvl w:ilvl="1">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2026-07-01T05:10:29Z</dcterms:created>
  <dcterms:modified xsi:type="dcterms:W3CDTF">2026-07-01T05:10:29Z</dcterms:modified>
</cp:coreProperties>
</file>