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a029709101-424b3_terra.htm"/>
      <w:bookmarkStart w:id="1" w:name="ksea029709101424b3_terra"/>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1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contained in the attached Annual Report on Form 10-K, filed with the Securities and Exchange Commission (the “Securities and Exchange Commission”) on June 16, 2026 (the “Form 10-K”). Accordingly, we have attached the Form 10-K 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July 2, 2026, the closing price of our Ordinary Shares as reported on Nasdaq was $4.62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that term is defined under the federal securities laws and, as such, are subject to certain reduced public company reporting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beginning on page 12 of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r>
        <w:rPr>
          <w:rFonts w:ascii="Times New Roman;Times;Serif" w:hAnsi="Times New Roman;Times;Serif"/>
          <w:b w:val="false"/>
          <w:i w:val="false"/>
          <w:caps w:val="false"/>
          <w:smallCaps w:val="false"/>
          <w:sz w:val="20"/>
          <w:u w:val="single"/>
        </w:rPr>
        <w:t>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001-42901</w:t>
      </w:r>
    </w:p>
    <w:p>
      <w:pPr>
        <w:pStyle w:val="TextBody"/>
        <w:bidi w:val="0"/>
        <w:spacing w:before="0" w:after="0"/>
        <w:ind w:left="0" w:right="0" w:firstLine="36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The Netherlands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650"/>
        <w:gridCol w:w="60"/>
        <w:gridCol w:w="920"/>
      </w:tblGrid>
      <w:tr>
        <w:trPr/>
        <w:tc>
          <w:tcPr>
            <w:tcW w:w="3650" w:type="dxa"/>
            <w:tcBorders>
              <w:bottom w:val="single" w:sz="12" w:space="0" w:color="000000"/>
            </w:tcBorders>
            <w:vAlign w:val="center"/>
          </w:tcPr>
          <w:p>
            <w:pPr>
              <w:pStyle w:val="TableContents"/>
              <w:bidi w:val="0"/>
              <w:spacing w:before="0" w:after="283"/>
              <w:jc w:val="center"/>
              <w:rPr>
                <w:b/>
                <w:sz w:val="20"/>
              </w:rPr>
            </w:pPr>
            <w:r>
              <w:rPr>
                <w:b/>
                <w:sz w:val="20"/>
              </w:rPr>
              <w:t>Via Matteo Trenta 117, Lucca, Italy 55100</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55100 LU</w:t>
            </w:r>
          </w:p>
        </w:tc>
      </w:tr>
      <w:tr>
        <w:trPr/>
        <w:tc>
          <w:tcPr>
            <w:tcW w:w="365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firstLine="36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+39 0583 55797</w:t>
            </w:r>
          </w:p>
        </w:tc>
      </w:tr>
      <w:tr>
        <w:trPr/>
        <w:tc>
          <w:tcPr>
            <w:tcW w:w="4355"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50"/>
        <w:gridCol w:w="60"/>
        <w:gridCol w:w="1610"/>
        <w:gridCol w:w="60"/>
        <w:gridCol w:w="3710"/>
      </w:tblGrid>
      <w:tr>
        <w:trPr/>
        <w:tc>
          <w:tcPr>
            <w:tcW w:w="36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Shares, par value of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NKLR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a total of 110,500,908 ordinary shares of the registrant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on 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
        <w:gridCol w:w="9152"/>
        <w:gridCol w:w="276"/>
      </w:tblGrid>
      <w:tr>
        <w:trPr/>
        <w:tc>
          <w:tcPr>
            <w:tcW w:w="10205" w:type="dxa"/>
            <w:gridSpan w:val="3"/>
            <w:tcBorders/>
            <w:shd w:fill="CCEEFF" w:val="clear"/>
            <w:vAlign w:val="center"/>
          </w:tcPr>
          <w:p>
            <w:pPr>
              <w:pStyle w:val="TableContents"/>
              <w:bidi w:val="0"/>
              <w:spacing w:before="0" w:after="283"/>
              <w:jc w:val="center"/>
              <w:rPr/>
            </w:pPr>
            <w:hyperlink w:anchor="a_001">
              <w:r>
                <w:rPr>
                  <w:rStyle w:val="InternetLink"/>
                </w:rPr>
                <w:t>PART I</w:t>
              </w:r>
            </w:hyperlink>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77" w:type="dxa"/>
            <w:tcBorders/>
            <w:shd w:fill="CCEEFF" w:val="clear"/>
            <w:vAlign w:val="center"/>
          </w:tcPr>
          <w:p>
            <w:pPr>
              <w:pStyle w:val="TableContents"/>
              <w:bidi w:val="0"/>
              <w:spacing w:before="0" w:after="283"/>
              <w:ind w:left="0" w:right="0" w:hanging="180"/>
              <w:jc w:val="left"/>
              <w:rPr/>
            </w:pPr>
            <w:r>
              <w:rPr/>
              <w:t>Item 1.</w:t>
            </w:r>
          </w:p>
        </w:tc>
        <w:tc>
          <w:tcPr>
            <w:tcW w:w="9152" w:type="dxa"/>
            <w:tcBorders/>
            <w:shd w:fill="CCEEFF" w:val="clear"/>
            <w:vAlign w:val="center"/>
          </w:tcPr>
          <w:p>
            <w:pPr>
              <w:pStyle w:val="TableContents"/>
              <w:bidi w:val="0"/>
              <w:spacing w:before="0" w:after="283"/>
              <w:jc w:val="left"/>
              <w:rPr/>
            </w:pPr>
            <w:hyperlink w:anchor="a_002">
              <w:r>
                <w:rPr>
                  <w:rStyle w:val="InternetLink"/>
                </w:rPr>
                <w:t>Business.</w:t>
              </w:r>
            </w:hyperlink>
          </w:p>
        </w:tc>
        <w:tc>
          <w:tcPr>
            <w:tcW w:w="276" w:type="dxa"/>
            <w:tcBorders/>
            <w:shd w:fill="CCEEFF" w:val="clear"/>
            <w:vAlign w:val="center"/>
          </w:tcPr>
          <w:p>
            <w:pPr>
              <w:pStyle w:val="TableContents"/>
              <w:bidi w:val="0"/>
              <w:spacing w:before="0" w:after="283"/>
              <w:jc w:val="center"/>
              <w:rPr/>
            </w:pPr>
            <w:r>
              <w:rPr/>
              <w:t>1</w:t>
            </w:r>
          </w:p>
        </w:tc>
      </w:tr>
      <w:tr>
        <w:trPr/>
        <w:tc>
          <w:tcPr>
            <w:tcW w:w="777" w:type="dxa"/>
            <w:tcBorders/>
            <w:shd w:fill="FFFFFF" w:val="clear"/>
            <w:vAlign w:val="center"/>
          </w:tcPr>
          <w:p>
            <w:pPr>
              <w:pStyle w:val="TableContents"/>
              <w:bidi w:val="0"/>
              <w:spacing w:before="0" w:after="283"/>
              <w:ind w:left="0" w:right="0" w:hanging="180"/>
              <w:jc w:val="left"/>
              <w:rPr/>
            </w:pPr>
            <w:r>
              <w:rPr/>
              <w:t>Item 1A.</w:t>
            </w:r>
          </w:p>
        </w:tc>
        <w:tc>
          <w:tcPr>
            <w:tcW w:w="9152" w:type="dxa"/>
            <w:tcBorders/>
            <w:shd w:fill="FFFFFF" w:val="clear"/>
            <w:vAlign w:val="center"/>
          </w:tcPr>
          <w:p>
            <w:pPr>
              <w:pStyle w:val="TableContents"/>
              <w:bidi w:val="0"/>
              <w:spacing w:before="0" w:after="283"/>
              <w:jc w:val="left"/>
              <w:rPr/>
            </w:pPr>
            <w:hyperlink w:anchor="a_003">
              <w:r>
                <w:rPr>
                  <w:rStyle w:val="InternetLink"/>
                </w:rPr>
                <w:t>Risk Factors.</w:t>
              </w:r>
            </w:hyperlink>
          </w:p>
        </w:tc>
        <w:tc>
          <w:tcPr>
            <w:tcW w:w="276" w:type="dxa"/>
            <w:tcBorders/>
            <w:shd w:fill="FFFFFF" w:val="clear"/>
            <w:vAlign w:val="center"/>
          </w:tcPr>
          <w:p>
            <w:pPr>
              <w:pStyle w:val="TableContents"/>
              <w:bidi w:val="0"/>
              <w:spacing w:before="0" w:after="283"/>
              <w:jc w:val="center"/>
              <w:rPr/>
            </w:pPr>
            <w:r>
              <w:rPr/>
              <w:t>12</w:t>
            </w:r>
          </w:p>
        </w:tc>
      </w:tr>
      <w:tr>
        <w:trPr/>
        <w:tc>
          <w:tcPr>
            <w:tcW w:w="777" w:type="dxa"/>
            <w:tcBorders/>
            <w:shd w:fill="CCEEFF" w:val="clear"/>
            <w:vAlign w:val="center"/>
          </w:tcPr>
          <w:p>
            <w:pPr>
              <w:pStyle w:val="TableContents"/>
              <w:bidi w:val="0"/>
              <w:spacing w:before="0" w:after="283"/>
              <w:ind w:left="0" w:right="0" w:hanging="180"/>
              <w:jc w:val="left"/>
              <w:rPr/>
            </w:pPr>
            <w:r>
              <w:rPr/>
              <w:t>Item 1B.</w:t>
            </w:r>
          </w:p>
        </w:tc>
        <w:tc>
          <w:tcPr>
            <w:tcW w:w="9152" w:type="dxa"/>
            <w:tcBorders/>
            <w:shd w:fill="CCEEFF" w:val="clear"/>
            <w:vAlign w:val="center"/>
          </w:tcPr>
          <w:p>
            <w:pPr>
              <w:pStyle w:val="TableContents"/>
              <w:bidi w:val="0"/>
              <w:spacing w:before="0" w:after="283"/>
              <w:jc w:val="left"/>
              <w:rPr/>
            </w:pPr>
            <w:hyperlink w:anchor="a_004">
              <w:r>
                <w:rPr>
                  <w:rStyle w:val="InternetLink"/>
                </w:rPr>
                <w:t>Unresolved Staff Comments.</w:t>
              </w:r>
            </w:hyperlink>
          </w:p>
        </w:tc>
        <w:tc>
          <w:tcPr>
            <w:tcW w:w="276" w:type="dxa"/>
            <w:tcBorders/>
            <w:shd w:fill="CCEEFF" w:val="clear"/>
            <w:vAlign w:val="center"/>
          </w:tcPr>
          <w:p>
            <w:pPr>
              <w:pStyle w:val="TableContents"/>
              <w:bidi w:val="0"/>
              <w:spacing w:before="0" w:after="283"/>
              <w:jc w:val="center"/>
              <w:rPr/>
            </w:pPr>
            <w:r>
              <w:rPr/>
              <w:t>39</w:t>
            </w:r>
          </w:p>
        </w:tc>
      </w:tr>
      <w:tr>
        <w:trPr/>
        <w:tc>
          <w:tcPr>
            <w:tcW w:w="777" w:type="dxa"/>
            <w:tcBorders/>
            <w:shd w:fill="FFFFFF" w:val="clear"/>
            <w:vAlign w:val="center"/>
          </w:tcPr>
          <w:p>
            <w:pPr>
              <w:pStyle w:val="TableContents"/>
              <w:bidi w:val="0"/>
              <w:spacing w:before="0" w:after="283"/>
              <w:ind w:left="0" w:right="0" w:hanging="180"/>
              <w:jc w:val="left"/>
              <w:rPr/>
            </w:pPr>
            <w:r>
              <w:rPr/>
              <w:t>Item 1C.</w:t>
            </w:r>
          </w:p>
        </w:tc>
        <w:tc>
          <w:tcPr>
            <w:tcW w:w="9152" w:type="dxa"/>
            <w:tcBorders/>
            <w:shd w:fill="FFFFFF" w:val="clear"/>
            <w:vAlign w:val="center"/>
          </w:tcPr>
          <w:p>
            <w:pPr>
              <w:pStyle w:val="TableContents"/>
              <w:bidi w:val="0"/>
              <w:spacing w:before="0" w:after="283"/>
              <w:jc w:val="left"/>
              <w:rPr/>
            </w:pPr>
            <w:hyperlink w:anchor="a_005">
              <w:r>
                <w:rPr>
                  <w:rStyle w:val="InternetLink"/>
                </w:rPr>
                <w:t>Cybersecurity.</w:t>
              </w:r>
            </w:hyperlink>
          </w:p>
        </w:tc>
        <w:tc>
          <w:tcPr>
            <w:tcW w:w="276" w:type="dxa"/>
            <w:tcBorders/>
            <w:shd w:fill="FFFFFF" w:val="clear"/>
            <w:vAlign w:val="center"/>
          </w:tcPr>
          <w:p>
            <w:pPr>
              <w:pStyle w:val="TableContents"/>
              <w:bidi w:val="0"/>
              <w:spacing w:before="0" w:after="283"/>
              <w:jc w:val="center"/>
              <w:rPr/>
            </w:pPr>
            <w:r>
              <w:rPr/>
              <w:t>39</w:t>
            </w:r>
          </w:p>
        </w:tc>
      </w:tr>
      <w:tr>
        <w:trPr/>
        <w:tc>
          <w:tcPr>
            <w:tcW w:w="777" w:type="dxa"/>
            <w:tcBorders/>
            <w:shd w:fill="CCEEFF" w:val="clear"/>
            <w:vAlign w:val="center"/>
          </w:tcPr>
          <w:p>
            <w:pPr>
              <w:pStyle w:val="TableContents"/>
              <w:bidi w:val="0"/>
              <w:spacing w:before="0" w:after="283"/>
              <w:ind w:left="0" w:right="0" w:hanging="180"/>
              <w:jc w:val="left"/>
              <w:rPr/>
            </w:pPr>
            <w:r>
              <w:rPr/>
              <w:t>Item 2.</w:t>
            </w:r>
          </w:p>
        </w:tc>
        <w:tc>
          <w:tcPr>
            <w:tcW w:w="9152" w:type="dxa"/>
            <w:tcBorders/>
            <w:shd w:fill="CCEEFF" w:val="clear"/>
            <w:vAlign w:val="center"/>
          </w:tcPr>
          <w:p>
            <w:pPr>
              <w:pStyle w:val="TableContents"/>
              <w:bidi w:val="0"/>
              <w:spacing w:before="0" w:after="283"/>
              <w:jc w:val="left"/>
              <w:rPr/>
            </w:pPr>
            <w:hyperlink w:anchor="a_006">
              <w:r>
                <w:rPr>
                  <w:rStyle w:val="InternetLink"/>
                </w:rPr>
                <w:t>Properties.</w:t>
              </w:r>
            </w:hyperlink>
          </w:p>
        </w:tc>
        <w:tc>
          <w:tcPr>
            <w:tcW w:w="276" w:type="dxa"/>
            <w:tcBorders/>
            <w:shd w:fill="CCEEFF" w:val="clear"/>
            <w:vAlign w:val="center"/>
          </w:tcPr>
          <w:p>
            <w:pPr>
              <w:pStyle w:val="TableContents"/>
              <w:bidi w:val="0"/>
              <w:spacing w:before="0" w:after="283"/>
              <w:jc w:val="center"/>
              <w:rPr/>
            </w:pPr>
            <w:r>
              <w:rPr/>
              <w:t>39</w:t>
            </w:r>
          </w:p>
        </w:tc>
      </w:tr>
      <w:tr>
        <w:trPr/>
        <w:tc>
          <w:tcPr>
            <w:tcW w:w="777" w:type="dxa"/>
            <w:tcBorders/>
            <w:shd w:fill="FFFFFF" w:val="clear"/>
            <w:vAlign w:val="center"/>
          </w:tcPr>
          <w:p>
            <w:pPr>
              <w:pStyle w:val="TableContents"/>
              <w:bidi w:val="0"/>
              <w:spacing w:before="0" w:after="283"/>
              <w:ind w:left="0" w:right="0" w:hanging="180"/>
              <w:jc w:val="left"/>
              <w:rPr/>
            </w:pPr>
            <w:r>
              <w:rPr/>
              <w:t>Item 3.</w:t>
            </w:r>
          </w:p>
        </w:tc>
        <w:tc>
          <w:tcPr>
            <w:tcW w:w="9152" w:type="dxa"/>
            <w:tcBorders/>
            <w:shd w:fill="FFFFFF" w:val="clear"/>
            <w:vAlign w:val="center"/>
          </w:tcPr>
          <w:p>
            <w:pPr>
              <w:pStyle w:val="TableContents"/>
              <w:bidi w:val="0"/>
              <w:spacing w:before="0" w:after="283"/>
              <w:jc w:val="left"/>
              <w:rPr/>
            </w:pPr>
            <w:hyperlink w:anchor="a_007">
              <w:r>
                <w:rPr>
                  <w:rStyle w:val="InternetLink"/>
                </w:rPr>
                <w:t>Legal Proceedings.</w:t>
              </w:r>
            </w:hyperlink>
          </w:p>
        </w:tc>
        <w:tc>
          <w:tcPr>
            <w:tcW w:w="276" w:type="dxa"/>
            <w:tcBorders/>
            <w:shd w:fill="FFFFFF" w:val="clear"/>
            <w:vAlign w:val="center"/>
          </w:tcPr>
          <w:p>
            <w:pPr>
              <w:pStyle w:val="TableContents"/>
              <w:bidi w:val="0"/>
              <w:spacing w:before="0" w:after="283"/>
              <w:jc w:val="center"/>
              <w:rPr/>
            </w:pPr>
            <w:r>
              <w:rPr/>
              <w:t>39</w:t>
            </w:r>
          </w:p>
        </w:tc>
      </w:tr>
      <w:tr>
        <w:trPr/>
        <w:tc>
          <w:tcPr>
            <w:tcW w:w="777" w:type="dxa"/>
            <w:tcBorders/>
            <w:shd w:fill="CCEEFF" w:val="clear"/>
            <w:vAlign w:val="center"/>
          </w:tcPr>
          <w:p>
            <w:pPr>
              <w:pStyle w:val="TableContents"/>
              <w:bidi w:val="0"/>
              <w:spacing w:before="0" w:after="283"/>
              <w:ind w:left="0" w:right="0" w:hanging="180"/>
              <w:jc w:val="left"/>
              <w:rPr/>
            </w:pPr>
            <w:r>
              <w:rPr/>
              <w:t>Item 4.</w:t>
            </w:r>
          </w:p>
        </w:tc>
        <w:tc>
          <w:tcPr>
            <w:tcW w:w="9152" w:type="dxa"/>
            <w:tcBorders/>
            <w:shd w:fill="CCEEFF" w:val="clear"/>
            <w:vAlign w:val="center"/>
          </w:tcPr>
          <w:p>
            <w:pPr>
              <w:pStyle w:val="TableContents"/>
              <w:bidi w:val="0"/>
              <w:spacing w:before="0" w:after="283"/>
              <w:jc w:val="left"/>
              <w:rPr/>
            </w:pPr>
            <w:hyperlink w:anchor="a_056">
              <w:r>
                <w:rPr>
                  <w:rStyle w:val="InternetLink"/>
                </w:rPr>
                <w:t>Mine Safety Disclosures.</w:t>
              </w:r>
            </w:hyperlink>
          </w:p>
        </w:tc>
        <w:tc>
          <w:tcPr>
            <w:tcW w:w="276" w:type="dxa"/>
            <w:tcBorders/>
            <w:shd w:fill="CCEEFF" w:val="clear"/>
            <w:vAlign w:val="center"/>
          </w:tcPr>
          <w:p>
            <w:pPr>
              <w:pStyle w:val="TableContents"/>
              <w:bidi w:val="0"/>
              <w:spacing w:before="0" w:after="283"/>
              <w:jc w:val="center"/>
              <w:rPr/>
            </w:pPr>
            <w:r>
              <w:rPr/>
              <w:t>39</w:t>
            </w:r>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08">
              <w:r>
                <w:rPr>
                  <w:rStyle w:val="InternetLink"/>
                </w:rPr>
                <w:t>PART II</w:t>
              </w:r>
            </w:hyperlink>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77" w:type="dxa"/>
            <w:tcBorders/>
            <w:shd w:fill="CCEEFF" w:val="clear"/>
            <w:vAlign w:val="center"/>
          </w:tcPr>
          <w:p>
            <w:pPr>
              <w:pStyle w:val="TableContents"/>
              <w:bidi w:val="0"/>
              <w:spacing w:before="0" w:after="283"/>
              <w:ind w:left="0" w:right="0" w:hanging="180"/>
              <w:jc w:val="left"/>
              <w:rPr/>
            </w:pPr>
            <w:r>
              <w:rPr/>
              <w:t>Item 5.</w:t>
            </w:r>
          </w:p>
        </w:tc>
        <w:tc>
          <w:tcPr>
            <w:tcW w:w="9152" w:type="dxa"/>
            <w:tcBorders/>
            <w:shd w:fill="CCEEFF" w:val="clear"/>
            <w:vAlign w:val="center"/>
          </w:tcPr>
          <w:p>
            <w:pPr>
              <w:pStyle w:val="TableContents"/>
              <w:bidi w:val="0"/>
              <w:spacing w:before="0" w:after="283"/>
              <w:jc w:val="left"/>
              <w:rPr/>
            </w:pPr>
            <w:hyperlink w:anchor="a_009">
              <w:r>
                <w:rPr>
                  <w:rStyle w:val="InternetLink"/>
                </w:rPr>
                <w:t>Market for Registrant’s Common Equity, Related Stockholder Matters and Issuer Purchases of Equity Securities.</w:t>
              </w:r>
            </w:hyperlink>
          </w:p>
        </w:tc>
        <w:tc>
          <w:tcPr>
            <w:tcW w:w="276" w:type="dxa"/>
            <w:tcBorders/>
            <w:shd w:fill="CCEEFF" w:val="clear"/>
            <w:vAlign w:val="center"/>
          </w:tcPr>
          <w:p>
            <w:pPr>
              <w:pStyle w:val="TableContents"/>
              <w:bidi w:val="0"/>
              <w:spacing w:before="0" w:after="283"/>
              <w:jc w:val="center"/>
              <w:rPr/>
            </w:pPr>
            <w:r>
              <w:rPr/>
              <w:t>40</w:t>
            </w:r>
          </w:p>
        </w:tc>
      </w:tr>
      <w:tr>
        <w:trPr/>
        <w:tc>
          <w:tcPr>
            <w:tcW w:w="777" w:type="dxa"/>
            <w:tcBorders/>
            <w:shd w:fill="FFFFFF" w:val="clear"/>
            <w:vAlign w:val="center"/>
          </w:tcPr>
          <w:p>
            <w:pPr>
              <w:pStyle w:val="TableContents"/>
              <w:bidi w:val="0"/>
              <w:spacing w:before="0" w:after="283"/>
              <w:ind w:left="0" w:right="0" w:hanging="180"/>
              <w:jc w:val="left"/>
              <w:rPr/>
            </w:pPr>
            <w:r>
              <w:rPr/>
              <w:t>Item 6.</w:t>
            </w:r>
          </w:p>
        </w:tc>
        <w:tc>
          <w:tcPr>
            <w:tcW w:w="9152" w:type="dxa"/>
            <w:tcBorders/>
            <w:shd w:fill="FFFFFF" w:val="clear"/>
            <w:vAlign w:val="center"/>
          </w:tcPr>
          <w:p>
            <w:pPr>
              <w:pStyle w:val="TableContents"/>
              <w:bidi w:val="0"/>
              <w:spacing w:before="0" w:after="283"/>
              <w:jc w:val="left"/>
              <w:rPr/>
            </w:pPr>
            <w:hyperlink w:anchor="a_010">
              <w:r>
                <w:rPr>
                  <w:rStyle w:val="InternetLink"/>
                </w:rPr>
                <w:t>[Reserved]</w:t>
              </w:r>
            </w:hyperlink>
          </w:p>
        </w:tc>
        <w:tc>
          <w:tcPr>
            <w:tcW w:w="276" w:type="dxa"/>
            <w:tcBorders/>
            <w:shd w:fill="FFFFFF" w:val="clear"/>
            <w:vAlign w:val="center"/>
          </w:tcPr>
          <w:p>
            <w:pPr>
              <w:pStyle w:val="TableContents"/>
              <w:bidi w:val="0"/>
              <w:spacing w:before="0" w:after="283"/>
              <w:jc w:val="center"/>
              <w:rPr/>
            </w:pPr>
            <w:r>
              <w:rPr/>
              <w:t>41</w:t>
            </w:r>
          </w:p>
        </w:tc>
      </w:tr>
      <w:tr>
        <w:trPr/>
        <w:tc>
          <w:tcPr>
            <w:tcW w:w="777" w:type="dxa"/>
            <w:tcBorders/>
            <w:shd w:fill="CCEEFF" w:val="clear"/>
            <w:vAlign w:val="center"/>
          </w:tcPr>
          <w:p>
            <w:pPr>
              <w:pStyle w:val="TableContents"/>
              <w:bidi w:val="0"/>
              <w:spacing w:before="0" w:after="283"/>
              <w:ind w:left="0" w:right="0" w:hanging="180"/>
              <w:jc w:val="left"/>
              <w:rPr/>
            </w:pPr>
            <w:r>
              <w:rPr/>
              <w:t>Item 7.</w:t>
            </w:r>
          </w:p>
        </w:tc>
        <w:tc>
          <w:tcPr>
            <w:tcW w:w="9152" w:type="dxa"/>
            <w:tcBorders/>
            <w:shd w:fill="CCEEFF" w:val="clear"/>
            <w:vAlign w:val="center"/>
          </w:tcPr>
          <w:p>
            <w:pPr>
              <w:pStyle w:val="TableContents"/>
              <w:bidi w:val="0"/>
              <w:spacing w:before="0" w:after="283"/>
              <w:jc w:val="left"/>
              <w:rPr/>
            </w:pPr>
            <w:hyperlink w:anchor="a_011">
              <w:r>
                <w:rPr>
                  <w:rStyle w:val="InternetLink"/>
                </w:rPr>
                <w:t>Management’s Discussion and Analysis of Financial Condition and Results of Operations.</w:t>
              </w:r>
            </w:hyperlink>
          </w:p>
        </w:tc>
        <w:tc>
          <w:tcPr>
            <w:tcW w:w="276" w:type="dxa"/>
            <w:tcBorders/>
            <w:shd w:fill="CCEEFF" w:val="clear"/>
            <w:vAlign w:val="center"/>
          </w:tcPr>
          <w:p>
            <w:pPr>
              <w:pStyle w:val="TableContents"/>
              <w:bidi w:val="0"/>
              <w:spacing w:before="0" w:after="283"/>
              <w:jc w:val="center"/>
              <w:rPr/>
            </w:pPr>
            <w:r>
              <w:rPr/>
              <w:t>42</w:t>
            </w:r>
          </w:p>
        </w:tc>
      </w:tr>
      <w:tr>
        <w:trPr/>
        <w:tc>
          <w:tcPr>
            <w:tcW w:w="777" w:type="dxa"/>
            <w:tcBorders/>
            <w:shd w:fill="FFFFFF" w:val="clear"/>
            <w:vAlign w:val="center"/>
          </w:tcPr>
          <w:p>
            <w:pPr>
              <w:pStyle w:val="TableContents"/>
              <w:bidi w:val="0"/>
              <w:spacing w:before="0" w:after="283"/>
              <w:ind w:left="0" w:right="0" w:hanging="180"/>
              <w:jc w:val="left"/>
              <w:rPr/>
            </w:pPr>
            <w:r>
              <w:rPr/>
              <w:t>Item 7A.</w:t>
            </w:r>
          </w:p>
        </w:tc>
        <w:tc>
          <w:tcPr>
            <w:tcW w:w="9152" w:type="dxa"/>
            <w:tcBorders/>
            <w:shd w:fill="FFFFFF" w:val="clear"/>
            <w:vAlign w:val="center"/>
          </w:tcPr>
          <w:p>
            <w:pPr>
              <w:pStyle w:val="TableContents"/>
              <w:bidi w:val="0"/>
              <w:spacing w:before="0" w:after="283"/>
              <w:jc w:val="left"/>
              <w:rPr/>
            </w:pPr>
            <w:hyperlink w:anchor="a_012">
              <w:r>
                <w:rPr>
                  <w:rStyle w:val="InternetLink"/>
                </w:rPr>
                <w:t>Quantitative and Qualitative Disclosures About Market Risk.</w:t>
              </w:r>
            </w:hyperlink>
          </w:p>
        </w:tc>
        <w:tc>
          <w:tcPr>
            <w:tcW w:w="276" w:type="dxa"/>
            <w:tcBorders/>
            <w:shd w:fill="FFFFFF" w:val="clear"/>
            <w:vAlign w:val="center"/>
          </w:tcPr>
          <w:p>
            <w:pPr>
              <w:pStyle w:val="TableContents"/>
              <w:bidi w:val="0"/>
              <w:spacing w:before="0" w:after="283"/>
              <w:jc w:val="center"/>
              <w:rPr/>
            </w:pPr>
            <w:r>
              <w:rPr/>
              <w:t>55</w:t>
            </w:r>
          </w:p>
        </w:tc>
      </w:tr>
      <w:tr>
        <w:trPr/>
        <w:tc>
          <w:tcPr>
            <w:tcW w:w="777" w:type="dxa"/>
            <w:tcBorders/>
            <w:shd w:fill="CCEEFF" w:val="clear"/>
            <w:vAlign w:val="center"/>
          </w:tcPr>
          <w:p>
            <w:pPr>
              <w:pStyle w:val="TableContents"/>
              <w:bidi w:val="0"/>
              <w:spacing w:before="0" w:after="283"/>
              <w:ind w:left="0" w:right="0" w:hanging="180"/>
              <w:jc w:val="left"/>
              <w:rPr/>
            </w:pPr>
            <w:r>
              <w:rPr/>
              <w:t>Item 8.</w:t>
            </w:r>
          </w:p>
        </w:tc>
        <w:tc>
          <w:tcPr>
            <w:tcW w:w="9152" w:type="dxa"/>
            <w:tcBorders/>
            <w:shd w:fill="CCEEFF" w:val="clear"/>
            <w:vAlign w:val="center"/>
          </w:tcPr>
          <w:p>
            <w:pPr>
              <w:pStyle w:val="TableContents"/>
              <w:bidi w:val="0"/>
              <w:spacing w:before="0" w:after="283"/>
              <w:jc w:val="left"/>
              <w:rPr/>
            </w:pPr>
            <w:hyperlink w:anchor="a_013">
              <w:r>
                <w:rPr>
                  <w:rStyle w:val="InternetLink"/>
                </w:rPr>
                <w:t>Financial Statements and Supplementary Data.</w:t>
              </w:r>
            </w:hyperlink>
          </w:p>
        </w:tc>
        <w:tc>
          <w:tcPr>
            <w:tcW w:w="276" w:type="dxa"/>
            <w:tcBorders/>
            <w:shd w:fill="CCEEFF" w:val="clear"/>
            <w:vAlign w:val="center"/>
          </w:tcPr>
          <w:p>
            <w:pPr>
              <w:pStyle w:val="TableContents"/>
              <w:bidi w:val="0"/>
              <w:spacing w:before="0" w:after="283"/>
              <w:jc w:val="center"/>
              <w:rPr/>
            </w:pPr>
            <w:r>
              <w:rPr/>
              <w:t>55</w:t>
            </w:r>
          </w:p>
        </w:tc>
      </w:tr>
      <w:tr>
        <w:trPr/>
        <w:tc>
          <w:tcPr>
            <w:tcW w:w="777" w:type="dxa"/>
            <w:tcBorders/>
            <w:shd w:fill="FFFFFF" w:val="clear"/>
            <w:vAlign w:val="center"/>
          </w:tcPr>
          <w:p>
            <w:pPr>
              <w:pStyle w:val="TableContents"/>
              <w:bidi w:val="0"/>
              <w:spacing w:before="0" w:after="283"/>
              <w:ind w:left="0" w:right="0" w:hanging="180"/>
              <w:jc w:val="left"/>
              <w:rPr/>
            </w:pPr>
            <w:r>
              <w:rPr/>
              <w:t>Item 9.</w:t>
            </w:r>
          </w:p>
        </w:tc>
        <w:tc>
          <w:tcPr>
            <w:tcW w:w="9152" w:type="dxa"/>
            <w:tcBorders/>
            <w:shd w:fill="FFFFFF" w:val="clear"/>
            <w:vAlign w:val="center"/>
          </w:tcPr>
          <w:p>
            <w:pPr>
              <w:pStyle w:val="TableContents"/>
              <w:bidi w:val="0"/>
              <w:spacing w:before="0" w:after="283"/>
              <w:jc w:val="left"/>
              <w:rPr/>
            </w:pPr>
            <w:hyperlink w:anchor="a_014">
              <w:r>
                <w:rPr>
                  <w:rStyle w:val="InternetLink"/>
                </w:rPr>
                <w:t>Changes in and Disagreements with Accountants on Accounting and Financial Disclosure.</w:t>
              </w:r>
            </w:hyperlink>
          </w:p>
        </w:tc>
        <w:tc>
          <w:tcPr>
            <w:tcW w:w="276" w:type="dxa"/>
            <w:tcBorders/>
            <w:shd w:fill="FFFFFF" w:val="clear"/>
            <w:vAlign w:val="center"/>
          </w:tcPr>
          <w:p>
            <w:pPr>
              <w:pStyle w:val="TableContents"/>
              <w:bidi w:val="0"/>
              <w:spacing w:before="0" w:after="283"/>
              <w:jc w:val="center"/>
              <w:rPr/>
            </w:pPr>
            <w:r>
              <w:rPr/>
              <w:t>55</w:t>
            </w:r>
          </w:p>
        </w:tc>
      </w:tr>
      <w:tr>
        <w:trPr/>
        <w:tc>
          <w:tcPr>
            <w:tcW w:w="777" w:type="dxa"/>
            <w:tcBorders/>
            <w:shd w:fill="CCEEFF" w:val="clear"/>
            <w:vAlign w:val="center"/>
          </w:tcPr>
          <w:p>
            <w:pPr>
              <w:pStyle w:val="TableContents"/>
              <w:bidi w:val="0"/>
              <w:spacing w:before="0" w:after="283"/>
              <w:ind w:left="0" w:right="0" w:hanging="180"/>
              <w:jc w:val="left"/>
              <w:rPr/>
            </w:pPr>
            <w:r>
              <w:rPr/>
              <w:t>Item 9A.</w:t>
            </w:r>
          </w:p>
        </w:tc>
        <w:tc>
          <w:tcPr>
            <w:tcW w:w="9152" w:type="dxa"/>
            <w:tcBorders/>
            <w:shd w:fill="CCEEFF" w:val="clear"/>
            <w:vAlign w:val="center"/>
          </w:tcPr>
          <w:p>
            <w:pPr>
              <w:pStyle w:val="TableContents"/>
              <w:bidi w:val="0"/>
              <w:spacing w:before="0" w:after="283"/>
              <w:jc w:val="left"/>
              <w:rPr/>
            </w:pPr>
            <w:hyperlink w:anchor="a_015">
              <w:r>
                <w:rPr>
                  <w:rStyle w:val="InternetLink"/>
                </w:rPr>
                <w:t>Controls and Procedures.</w:t>
              </w:r>
            </w:hyperlink>
          </w:p>
        </w:tc>
        <w:tc>
          <w:tcPr>
            <w:tcW w:w="276" w:type="dxa"/>
            <w:tcBorders/>
            <w:shd w:fill="CCEEFF" w:val="clear"/>
            <w:vAlign w:val="center"/>
          </w:tcPr>
          <w:p>
            <w:pPr>
              <w:pStyle w:val="TableContents"/>
              <w:bidi w:val="0"/>
              <w:spacing w:before="0" w:after="283"/>
              <w:jc w:val="center"/>
              <w:rPr/>
            </w:pPr>
            <w:r>
              <w:rPr/>
              <w:t>55</w:t>
            </w:r>
          </w:p>
        </w:tc>
      </w:tr>
      <w:tr>
        <w:trPr/>
        <w:tc>
          <w:tcPr>
            <w:tcW w:w="777" w:type="dxa"/>
            <w:tcBorders/>
            <w:shd w:fill="FFFFFF" w:val="clear"/>
            <w:vAlign w:val="center"/>
          </w:tcPr>
          <w:p>
            <w:pPr>
              <w:pStyle w:val="TableContents"/>
              <w:bidi w:val="0"/>
              <w:spacing w:before="0" w:after="283"/>
              <w:ind w:left="0" w:right="0" w:hanging="180"/>
              <w:jc w:val="left"/>
              <w:rPr/>
            </w:pPr>
            <w:r>
              <w:rPr/>
              <w:t>Item 9B.</w:t>
            </w:r>
          </w:p>
        </w:tc>
        <w:tc>
          <w:tcPr>
            <w:tcW w:w="9152" w:type="dxa"/>
            <w:tcBorders/>
            <w:shd w:fill="FFFFFF" w:val="clear"/>
            <w:vAlign w:val="center"/>
          </w:tcPr>
          <w:p>
            <w:pPr>
              <w:pStyle w:val="TableContents"/>
              <w:bidi w:val="0"/>
              <w:spacing w:before="0" w:after="283"/>
              <w:jc w:val="left"/>
              <w:rPr/>
            </w:pPr>
            <w:hyperlink w:anchor="a_016">
              <w:r>
                <w:rPr>
                  <w:rStyle w:val="InternetLink"/>
                </w:rPr>
                <w:t>Other Information.</w:t>
              </w:r>
            </w:hyperlink>
          </w:p>
        </w:tc>
        <w:tc>
          <w:tcPr>
            <w:tcW w:w="276" w:type="dxa"/>
            <w:tcBorders/>
            <w:shd w:fill="FFFFFF" w:val="clear"/>
            <w:vAlign w:val="center"/>
          </w:tcPr>
          <w:p>
            <w:pPr>
              <w:pStyle w:val="TableContents"/>
              <w:bidi w:val="0"/>
              <w:spacing w:before="0" w:after="283"/>
              <w:jc w:val="center"/>
              <w:rPr/>
            </w:pPr>
            <w:r>
              <w:rPr/>
              <w:t>56</w:t>
            </w:r>
          </w:p>
        </w:tc>
      </w:tr>
      <w:tr>
        <w:trPr/>
        <w:tc>
          <w:tcPr>
            <w:tcW w:w="777" w:type="dxa"/>
            <w:tcBorders/>
            <w:shd w:fill="CCEEFF" w:val="clear"/>
            <w:vAlign w:val="center"/>
          </w:tcPr>
          <w:p>
            <w:pPr>
              <w:pStyle w:val="TableContents"/>
              <w:bidi w:val="0"/>
              <w:spacing w:before="0" w:after="283"/>
              <w:ind w:left="0" w:right="0" w:hanging="180"/>
              <w:jc w:val="left"/>
              <w:rPr/>
            </w:pPr>
            <w:r>
              <w:rPr/>
              <w:t>Item 9C.</w:t>
            </w:r>
          </w:p>
        </w:tc>
        <w:tc>
          <w:tcPr>
            <w:tcW w:w="9152" w:type="dxa"/>
            <w:tcBorders/>
            <w:shd w:fill="CCEEFF" w:val="clear"/>
            <w:vAlign w:val="center"/>
          </w:tcPr>
          <w:p>
            <w:pPr>
              <w:pStyle w:val="TableContents"/>
              <w:bidi w:val="0"/>
              <w:spacing w:before="0" w:after="283"/>
              <w:jc w:val="left"/>
              <w:rPr/>
            </w:pPr>
            <w:hyperlink w:anchor="a_017">
              <w:r>
                <w:rPr>
                  <w:rStyle w:val="InternetLink"/>
                </w:rPr>
                <w:t>Disclosure Regarding Foreign Jurisdictions that Prevent Inspections.</w:t>
              </w:r>
            </w:hyperlink>
          </w:p>
        </w:tc>
        <w:tc>
          <w:tcPr>
            <w:tcW w:w="276" w:type="dxa"/>
            <w:tcBorders/>
            <w:shd w:fill="CCEEFF" w:val="clear"/>
            <w:vAlign w:val="center"/>
          </w:tcPr>
          <w:p>
            <w:pPr>
              <w:pStyle w:val="TableContents"/>
              <w:bidi w:val="0"/>
              <w:spacing w:before="0" w:after="283"/>
              <w:jc w:val="center"/>
              <w:rPr/>
            </w:pPr>
            <w:r>
              <w:rPr/>
              <w:t>56</w:t>
            </w:r>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18">
              <w:r>
                <w:rPr>
                  <w:rStyle w:val="InternetLink"/>
                </w:rPr>
                <w:t>PART III</w:t>
              </w:r>
            </w:hyperlink>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77" w:type="dxa"/>
            <w:tcBorders/>
            <w:shd w:fill="CCEEFF" w:val="clear"/>
            <w:vAlign w:val="center"/>
          </w:tcPr>
          <w:p>
            <w:pPr>
              <w:pStyle w:val="TableContents"/>
              <w:bidi w:val="0"/>
              <w:spacing w:before="0" w:after="283"/>
              <w:ind w:left="0" w:right="0" w:hanging="180"/>
              <w:jc w:val="left"/>
              <w:rPr/>
            </w:pPr>
            <w:r>
              <w:rPr/>
              <w:t>Item 10.</w:t>
            </w:r>
          </w:p>
        </w:tc>
        <w:tc>
          <w:tcPr>
            <w:tcW w:w="9152" w:type="dxa"/>
            <w:tcBorders/>
            <w:shd w:fill="CCEEFF" w:val="clear"/>
            <w:vAlign w:val="center"/>
          </w:tcPr>
          <w:p>
            <w:pPr>
              <w:pStyle w:val="TableContents"/>
              <w:bidi w:val="0"/>
              <w:spacing w:before="0" w:after="283"/>
              <w:jc w:val="left"/>
              <w:rPr/>
            </w:pPr>
            <w:hyperlink w:anchor="a_019">
              <w:r>
                <w:rPr>
                  <w:rStyle w:val="InternetLink"/>
                </w:rPr>
                <w:t>Directors, Executive Officers and Corporate Governance.</w:t>
              </w:r>
            </w:hyperlink>
          </w:p>
        </w:tc>
        <w:tc>
          <w:tcPr>
            <w:tcW w:w="276" w:type="dxa"/>
            <w:tcBorders/>
            <w:shd w:fill="CCEEFF" w:val="clear"/>
            <w:vAlign w:val="center"/>
          </w:tcPr>
          <w:p>
            <w:pPr>
              <w:pStyle w:val="TableContents"/>
              <w:bidi w:val="0"/>
              <w:spacing w:before="0" w:after="283"/>
              <w:jc w:val="center"/>
              <w:rPr/>
            </w:pPr>
            <w:r>
              <w:rPr/>
              <w:t>57</w:t>
            </w:r>
          </w:p>
        </w:tc>
      </w:tr>
      <w:tr>
        <w:trPr/>
        <w:tc>
          <w:tcPr>
            <w:tcW w:w="777" w:type="dxa"/>
            <w:tcBorders/>
            <w:shd w:fill="FFFFFF" w:val="clear"/>
            <w:vAlign w:val="center"/>
          </w:tcPr>
          <w:p>
            <w:pPr>
              <w:pStyle w:val="TableContents"/>
              <w:bidi w:val="0"/>
              <w:spacing w:before="0" w:after="283"/>
              <w:ind w:left="0" w:right="0" w:hanging="180"/>
              <w:jc w:val="left"/>
              <w:rPr/>
            </w:pPr>
            <w:r>
              <w:rPr/>
              <w:t>Item 11.</w:t>
            </w:r>
          </w:p>
        </w:tc>
        <w:tc>
          <w:tcPr>
            <w:tcW w:w="9152" w:type="dxa"/>
            <w:tcBorders/>
            <w:shd w:fill="FFFFFF" w:val="clear"/>
            <w:vAlign w:val="center"/>
          </w:tcPr>
          <w:p>
            <w:pPr>
              <w:pStyle w:val="TableContents"/>
              <w:bidi w:val="0"/>
              <w:spacing w:before="0" w:after="283"/>
              <w:jc w:val="left"/>
              <w:rPr/>
            </w:pPr>
            <w:hyperlink w:anchor="a_020">
              <w:r>
                <w:rPr>
                  <w:rStyle w:val="InternetLink"/>
                </w:rPr>
                <w:t>Executive Compensation.</w:t>
              </w:r>
            </w:hyperlink>
          </w:p>
        </w:tc>
        <w:tc>
          <w:tcPr>
            <w:tcW w:w="276" w:type="dxa"/>
            <w:tcBorders/>
            <w:shd w:fill="FFFFFF" w:val="clear"/>
            <w:vAlign w:val="center"/>
          </w:tcPr>
          <w:p>
            <w:pPr>
              <w:pStyle w:val="TableContents"/>
              <w:bidi w:val="0"/>
              <w:spacing w:before="0" w:after="283"/>
              <w:jc w:val="center"/>
              <w:rPr/>
            </w:pPr>
            <w:r>
              <w:rPr/>
              <w:t>63</w:t>
            </w:r>
          </w:p>
        </w:tc>
      </w:tr>
      <w:tr>
        <w:trPr/>
        <w:tc>
          <w:tcPr>
            <w:tcW w:w="777" w:type="dxa"/>
            <w:tcBorders/>
            <w:shd w:fill="CCEEFF" w:val="clear"/>
            <w:vAlign w:val="center"/>
          </w:tcPr>
          <w:p>
            <w:pPr>
              <w:pStyle w:val="TableContents"/>
              <w:bidi w:val="0"/>
              <w:spacing w:before="0" w:after="283"/>
              <w:ind w:left="0" w:right="0" w:hanging="180"/>
              <w:jc w:val="left"/>
              <w:rPr/>
            </w:pPr>
            <w:r>
              <w:rPr/>
              <w:t>Item 12.</w:t>
            </w:r>
          </w:p>
        </w:tc>
        <w:tc>
          <w:tcPr>
            <w:tcW w:w="9152" w:type="dxa"/>
            <w:tcBorders/>
            <w:shd w:fill="CCEEFF" w:val="clear"/>
            <w:vAlign w:val="center"/>
          </w:tcPr>
          <w:p>
            <w:pPr>
              <w:pStyle w:val="TableContents"/>
              <w:bidi w:val="0"/>
              <w:spacing w:before="0" w:after="283"/>
              <w:jc w:val="left"/>
              <w:rPr/>
            </w:pPr>
            <w:hyperlink w:anchor="a_021">
              <w:r>
                <w:rPr>
                  <w:rStyle w:val="InternetLink"/>
                </w:rPr>
                <w:t>Security Ownership of Certain Beneficial Owners and Management and Related Stockholder Matters.</w:t>
              </w:r>
            </w:hyperlink>
          </w:p>
        </w:tc>
        <w:tc>
          <w:tcPr>
            <w:tcW w:w="276" w:type="dxa"/>
            <w:tcBorders/>
            <w:shd w:fill="CCEEFF" w:val="clear"/>
            <w:vAlign w:val="center"/>
          </w:tcPr>
          <w:p>
            <w:pPr>
              <w:pStyle w:val="TableContents"/>
              <w:bidi w:val="0"/>
              <w:spacing w:before="0" w:after="283"/>
              <w:jc w:val="center"/>
              <w:rPr/>
            </w:pPr>
            <w:r>
              <w:rPr/>
              <w:t>69</w:t>
            </w:r>
          </w:p>
        </w:tc>
      </w:tr>
      <w:tr>
        <w:trPr/>
        <w:tc>
          <w:tcPr>
            <w:tcW w:w="777" w:type="dxa"/>
            <w:tcBorders/>
            <w:shd w:fill="FFFFFF" w:val="clear"/>
            <w:vAlign w:val="center"/>
          </w:tcPr>
          <w:p>
            <w:pPr>
              <w:pStyle w:val="TableContents"/>
              <w:bidi w:val="0"/>
              <w:spacing w:before="0" w:after="283"/>
              <w:ind w:left="0" w:right="0" w:hanging="180"/>
              <w:jc w:val="left"/>
              <w:rPr/>
            </w:pPr>
            <w:r>
              <w:rPr/>
              <w:t>Item 13.</w:t>
            </w:r>
          </w:p>
        </w:tc>
        <w:tc>
          <w:tcPr>
            <w:tcW w:w="9152" w:type="dxa"/>
            <w:tcBorders/>
            <w:shd w:fill="FFFFFF" w:val="clear"/>
            <w:vAlign w:val="center"/>
          </w:tcPr>
          <w:p>
            <w:pPr>
              <w:pStyle w:val="TableContents"/>
              <w:bidi w:val="0"/>
              <w:spacing w:before="0" w:after="283"/>
              <w:jc w:val="left"/>
              <w:rPr/>
            </w:pPr>
            <w:hyperlink w:anchor="a_022">
              <w:r>
                <w:rPr>
                  <w:rStyle w:val="InternetLink"/>
                </w:rPr>
                <w:t>Certain Relationships and Related Transactions, and Director Independence.</w:t>
              </w:r>
            </w:hyperlink>
          </w:p>
        </w:tc>
        <w:tc>
          <w:tcPr>
            <w:tcW w:w="276" w:type="dxa"/>
            <w:tcBorders/>
            <w:shd w:fill="FFFFFF" w:val="clear"/>
            <w:vAlign w:val="center"/>
          </w:tcPr>
          <w:p>
            <w:pPr>
              <w:pStyle w:val="TableContents"/>
              <w:bidi w:val="0"/>
              <w:spacing w:before="0" w:after="283"/>
              <w:jc w:val="center"/>
              <w:rPr/>
            </w:pPr>
            <w:r>
              <w:rPr/>
              <w:t>70</w:t>
            </w:r>
          </w:p>
        </w:tc>
      </w:tr>
      <w:tr>
        <w:trPr/>
        <w:tc>
          <w:tcPr>
            <w:tcW w:w="777" w:type="dxa"/>
            <w:tcBorders/>
            <w:shd w:fill="CCEEFF" w:val="clear"/>
            <w:vAlign w:val="center"/>
          </w:tcPr>
          <w:p>
            <w:pPr>
              <w:pStyle w:val="TableContents"/>
              <w:bidi w:val="0"/>
              <w:spacing w:before="0" w:after="283"/>
              <w:ind w:left="0" w:right="0" w:hanging="180"/>
              <w:jc w:val="left"/>
              <w:rPr/>
            </w:pPr>
            <w:r>
              <w:rPr/>
              <w:t>Item 14.</w:t>
            </w:r>
          </w:p>
        </w:tc>
        <w:tc>
          <w:tcPr>
            <w:tcW w:w="9152" w:type="dxa"/>
            <w:tcBorders/>
            <w:shd w:fill="CCEEFF" w:val="clear"/>
            <w:vAlign w:val="center"/>
          </w:tcPr>
          <w:p>
            <w:pPr>
              <w:pStyle w:val="TableContents"/>
              <w:bidi w:val="0"/>
              <w:spacing w:before="0" w:after="283"/>
              <w:jc w:val="left"/>
              <w:rPr/>
            </w:pPr>
            <w:hyperlink w:anchor="a_023">
              <w:r>
                <w:rPr>
                  <w:rStyle w:val="InternetLink"/>
                </w:rPr>
                <w:t>Principal Accountant Fees and Services.</w:t>
              </w:r>
            </w:hyperlink>
          </w:p>
        </w:tc>
        <w:tc>
          <w:tcPr>
            <w:tcW w:w="276" w:type="dxa"/>
            <w:tcBorders/>
            <w:shd w:fill="CCEEFF" w:val="clear"/>
            <w:vAlign w:val="center"/>
          </w:tcPr>
          <w:p>
            <w:pPr>
              <w:pStyle w:val="TableContents"/>
              <w:bidi w:val="0"/>
              <w:spacing w:before="0" w:after="283"/>
              <w:jc w:val="center"/>
              <w:rPr/>
            </w:pPr>
            <w:r>
              <w:rPr/>
              <w:t>72</w:t>
            </w:r>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24">
              <w:r>
                <w:rPr>
                  <w:rStyle w:val="InternetLink"/>
                </w:rPr>
                <w:t>PART IV</w:t>
              </w:r>
            </w:hyperlink>
          </w:p>
        </w:tc>
      </w:tr>
      <w:tr>
        <w:trPr/>
        <w:tc>
          <w:tcPr>
            <w:tcW w:w="777" w:type="dxa"/>
            <w:tcBorders/>
            <w:shd w:fill="FFFFFF" w:val="clear"/>
            <w:vAlign w:val="center"/>
          </w:tcPr>
          <w:p>
            <w:pPr>
              <w:pStyle w:val="TableContents"/>
              <w:bidi w:val="0"/>
              <w:spacing w:before="0" w:after="283"/>
              <w:ind w:left="0" w:right="0" w:hanging="180"/>
              <w:jc w:val="left"/>
              <w:rPr/>
            </w:pPr>
            <w:r>
              <w:rPr/>
              <w:t> </w:t>
            </w:r>
          </w:p>
        </w:tc>
        <w:tc>
          <w:tcPr>
            <w:tcW w:w="91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77" w:type="dxa"/>
            <w:tcBorders/>
            <w:shd w:fill="CCEEFF" w:val="clear"/>
            <w:vAlign w:val="center"/>
          </w:tcPr>
          <w:p>
            <w:pPr>
              <w:pStyle w:val="TableContents"/>
              <w:bidi w:val="0"/>
              <w:spacing w:before="0" w:after="283"/>
              <w:ind w:left="0" w:right="0" w:hanging="180"/>
              <w:jc w:val="left"/>
              <w:rPr/>
            </w:pPr>
            <w:r>
              <w:rPr/>
              <w:t>Item 15.</w:t>
            </w:r>
          </w:p>
        </w:tc>
        <w:tc>
          <w:tcPr>
            <w:tcW w:w="9152" w:type="dxa"/>
            <w:tcBorders/>
            <w:shd w:fill="CCEEFF" w:val="clear"/>
            <w:vAlign w:val="center"/>
          </w:tcPr>
          <w:p>
            <w:pPr>
              <w:pStyle w:val="TableContents"/>
              <w:bidi w:val="0"/>
              <w:spacing w:before="0" w:after="283"/>
              <w:jc w:val="left"/>
              <w:rPr/>
            </w:pPr>
            <w:hyperlink w:anchor="a_025">
              <w:r>
                <w:rPr>
                  <w:rStyle w:val="InternetLink"/>
                </w:rPr>
                <w:t>Exhibits and Financial Statement Schedules.</w:t>
              </w:r>
            </w:hyperlink>
          </w:p>
        </w:tc>
        <w:tc>
          <w:tcPr>
            <w:tcW w:w="276" w:type="dxa"/>
            <w:tcBorders/>
            <w:shd w:fill="CCEEFF" w:val="clear"/>
            <w:vAlign w:val="center"/>
          </w:tcPr>
          <w:p>
            <w:pPr>
              <w:pStyle w:val="TableContents"/>
              <w:bidi w:val="0"/>
              <w:spacing w:before="0" w:after="283"/>
              <w:jc w:val="center"/>
              <w:rPr/>
            </w:pPr>
            <w:r>
              <w:rPr/>
              <w:t>74</w:t>
            </w:r>
          </w:p>
        </w:tc>
      </w:tr>
      <w:tr>
        <w:trPr/>
        <w:tc>
          <w:tcPr>
            <w:tcW w:w="777" w:type="dxa"/>
            <w:tcBorders/>
            <w:shd w:fill="FFFFFF" w:val="clear"/>
            <w:vAlign w:val="center"/>
          </w:tcPr>
          <w:p>
            <w:pPr>
              <w:pStyle w:val="TableContents"/>
              <w:bidi w:val="0"/>
              <w:spacing w:before="0" w:after="283"/>
              <w:ind w:left="0" w:right="0" w:hanging="180"/>
              <w:jc w:val="left"/>
              <w:rPr/>
            </w:pPr>
            <w:r>
              <w:rPr/>
              <w:t>Item 16.</w:t>
            </w:r>
          </w:p>
        </w:tc>
        <w:tc>
          <w:tcPr>
            <w:tcW w:w="9152" w:type="dxa"/>
            <w:tcBorders/>
            <w:shd w:fill="FFFFFF" w:val="clear"/>
            <w:vAlign w:val="center"/>
          </w:tcPr>
          <w:p>
            <w:pPr>
              <w:pStyle w:val="TableContents"/>
              <w:bidi w:val="0"/>
              <w:spacing w:before="0" w:after="283"/>
              <w:jc w:val="left"/>
              <w:rPr/>
            </w:pPr>
            <w:r>
              <w:rPr/>
              <w:t>Form 10-K Summary.</w:t>
            </w:r>
          </w:p>
        </w:tc>
        <w:tc>
          <w:tcPr>
            <w:tcW w:w="276"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TERMS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throughout this annual report on Form 10-K, references to:</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means, upon the terms and subject to the conditions set forth in the Business Combination Agreement, the consummation of the Business Combination on October 9, 2025.</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Governing Documents</w:t>
      </w:r>
      <w:r>
        <w:rPr>
          <w:rFonts w:ascii="Times New Roman;Times;Serif" w:hAnsi="Times New Roman;Times;Serif"/>
          <w:b w:val="false"/>
          <w:i w:val="false"/>
          <w:caps w:val="false"/>
          <w:smallCaps w:val="false"/>
          <w:sz w:val="20"/>
        </w:rPr>
        <w:t>” means the legal agreements and instruments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 as amended and or restated from time to time.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national, state, provincial, territorial or municipal government, or any political subdivision of such government, and any agency, commission, department, board, bureau, official, minister, arbitral body (public or private), tribunal or court, whether national, state, provincial, local, foreign or multinational, exercising executive, legislative, judicial, regulatory or administrative functions of a nation, state, province or municipal government, or any political subdivision of such authority, including any authority having governmental or quasi-governmental powers, domestic or foreign.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GSR III Acquisition Corp.</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 Class A Shares</w:t>
      </w:r>
      <w:r>
        <w:rPr>
          <w:rFonts w:ascii="Times New Roman;Times;Serif" w:hAnsi="Times New Roman;Times;Serif"/>
          <w:b w:val="false"/>
          <w:i w:val="false"/>
          <w:caps w:val="false"/>
          <w:smallCaps w:val="false"/>
          <w:sz w:val="20"/>
        </w:rPr>
        <w:t>” means Class A ordinary shares of GSR III, par value $0.0001 per share.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 Class B Shares</w:t>
      </w:r>
      <w:r>
        <w:rPr>
          <w:rFonts w:ascii="Times New Roman;Times;Serif" w:hAnsi="Times New Roman;Times;Serif"/>
          <w:b w:val="false"/>
          <w:i w:val="false"/>
          <w:caps w:val="false"/>
          <w:smallCaps w:val="false"/>
          <w:sz w:val="20"/>
        </w:rPr>
        <w:t>” means Class B ordinary shares of GSR III, par value $0.0001 per share.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 Private Placement Units</w:t>
      </w:r>
      <w:r>
        <w:rPr>
          <w:rFonts w:ascii="Times New Roman;Times;Serif" w:hAnsi="Times New Roman;Times;Serif"/>
          <w:b w:val="false"/>
          <w:i w:val="false"/>
          <w:caps w:val="false"/>
          <w:smallCaps w:val="false"/>
          <w:sz w:val="20"/>
        </w:rPr>
        <w:t>” means the units comprised of one GSR III Class A Share and one-seventh of one whole right to receive one GSR III Ordinary Share in connection with the consummation of the Business Combination issued and sold in a private placement simultaneously with GSR III’s initial public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 Rights</w:t>
      </w:r>
      <w:r>
        <w:rPr>
          <w:rFonts w:ascii="Times New Roman;Times;Serif" w:hAnsi="Times New Roman;Times;Serif"/>
          <w:b w:val="false"/>
          <w:i w:val="false"/>
          <w:caps w:val="false"/>
          <w:smallCaps w:val="false"/>
          <w:sz w:val="20"/>
        </w:rPr>
        <w:t>” means the right per GSR III Private Placement Unit to purchase one-seventh of one share upon consummation of the Closing.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GSR III Shares</w:t>
      </w:r>
      <w:r>
        <w:rPr>
          <w:rFonts w:ascii="Times New Roman;Times;Serif" w:hAnsi="Times New Roman;Times;Serif"/>
          <w:b w:val="false"/>
          <w:i w:val="false"/>
          <w:caps w:val="false"/>
          <w:smallCaps w:val="false"/>
          <w:sz w:val="20"/>
        </w:rPr>
        <w:t>” means GSR III Class A Shares and GSR III Class B Shares, collectively.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firm, corporation, partnership, limited liability company, exempted company, incorporated or unincorporated association, joint venture, joint stock company, bank, trust company, trust or other entity, whether or not a legal entity, Governmental Authority or any department, agency or political subdivision of such Governmental Authority.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Preferred Conversion Ratio</w:t>
      </w:r>
      <w:r>
        <w:rPr>
          <w:rFonts w:ascii="Times New Roman;Times;Serif" w:hAnsi="Times New Roman;Times;Serif"/>
          <w:b w:val="false"/>
          <w:i w:val="false"/>
          <w:caps w:val="false"/>
          <w:smallCaps w:val="false"/>
          <w:sz w:val="20"/>
        </w:rPr>
        <w:t>” means 80 (i.e. 8,000 Terra Innovatum Preferred Shares divided by 100 quotas).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by and between GSR III, the Sponsor, Terra Innovatum and certain other parties.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means any of the current or former directors, officers, employees, managers, members, or equityholders (both indirect and direct) (or any child or spouse of any such Person) of any Terra Entity.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SOLO</w:t>
      </w:r>
      <w:r>
        <w:rPr>
          <w:rFonts w:ascii="Times New Roman;Times;Serif" w:hAnsi="Times New Roman;Times;Serif"/>
          <w:b w:val="false"/>
          <w:i w:val="false"/>
          <w:caps w:val="false"/>
          <w:smallCaps w:val="false"/>
          <w:sz w:val="20"/>
        </w:rPr>
        <w:t>” means the SOLO micro-modular nuclear reactor.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SOLO Test Reactor</w:t>
      </w:r>
      <w:r>
        <w:rPr>
          <w:rFonts w:ascii="Times New Roman;Times;Serif" w:hAnsi="Times New Roman;Times;Serif"/>
          <w:b w:val="false"/>
          <w:i w:val="false"/>
          <w:caps w:val="false"/>
          <w:smallCaps w:val="false"/>
          <w:sz w:val="20"/>
        </w:rPr>
        <w:t>” means the First-Of-A-Kind (FOAK) demonstrative prototype of the SOLO reactor, developed and operated by Terra Innovatum, which is designed, constructed, and operated primarily for testing, research, training, and development purposes. This reactor is a non-power production or utilization facility under a Class 104(c) license pursuant to 10 CFR 50.21(c) of the U.S. Nuclear Regulatory Commission regulations.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means GSR III Sponsor LLC, a Delaware limited liability company.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Sponsor Holders</w:t>
      </w:r>
      <w:r>
        <w:rPr>
          <w:rFonts w:ascii="Times New Roman;Times;Serif" w:hAnsi="Times New Roman;Times;Serif"/>
          <w:b w:val="false"/>
          <w:i w:val="false"/>
          <w:caps w:val="false"/>
          <w:smallCaps w:val="false"/>
          <w:sz w:val="20"/>
        </w:rPr>
        <w:t>” means the Sponsor and certain members of the Sponsor (including the three prior independent directors of GSR III) and certain other former holders of GSR III Class B Shares.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 Person, a corporation, general or limited partnership, limited liability company, joint venture, partnership or other entity of which a majority of the economic interests or the voting interests is owned, directly or indirectly,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Terra Ordinary Shares</w:t>
      </w:r>
      <w:r>
        <w:rPr>
          <w:rFonts w:ascii="Times New Roman;Times;Serif" w:hAnsi="Times New Roman;Times;Serif"/>
          <w:b w:val="false"/>
          <w:i w:val="false"/>
          <w:caps w:val="false"/>
          <w:smallCaps w:val="false"/>
          <w:sz w:val="20"/>
        </w:rPr>
        <w:t>” means ordinary shares in the capital of Terra, par value EUR 0.01 per share, having the terms set forth in Terra’s Governing Documents.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Terra Preferred Shares</w:t>
      </w:r>
      <w:r>
        <w:rPr>
          <w:rFonts w:ascii="Times New Roman;Times;Serif" w:hAnsi="Times New Roman;Times;Serif"/>
          <w:b w:val="false"/>
          <w:i w:val="false"/>
          <w:caps w:val="false"/>
          <w:smallCaps w:val="false"/>
          <w:sz w:val="20"/>
        </w:rPr>
        <w:t>” means convertible preferred shares in the capital of Terra, par value EUR 100.00 per share, having the terms set forth in Terra’s Governing Documents.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U.S. GAAP</w:t>
      </w:r>
      <w:r>
        <w:rPr>
          <w:rFonts w:ascii="Times New Roman;Times;Serif" w:hAnsi="Times New Roman;Times;Serif"/>
          <w:b w:val="false"/>
          <w:i w:val="false"/>
          <w:caps w:val="false"/>
          <w:smallCaps w:val="false"/>
          <w:sz w:val="20"/>
        </w:rPr>
        <w:t>” means generally accepted accounting principles in the United States as in effect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All statements contained in this Form 10-K,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expected changes in our revenue, costs or expenditures;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growth of and competition trends in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our expectations regarding demand for, and market acceptance of, our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our expectations regarding our relationships with investors, institutional funding partners and other parties with whom we collaborate;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fluctuations in general economic and business conditions in the markets in which we operate;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sz w:val="20"/>
              </w:rPr>
            </w:pPr>
            <w:r>
              <w:rPr>
                <w:sz w:val="20"/>
              </w:rPr>
              <w:t>relevant government policies and regulations relating to our industry.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Trade Names and Service Marks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own or have rights to trademarks, service marks and trade names that we use in connection with the operation of our business, including our corporate name, logos and website names. Other trademarks, service marks and trade names appearing in this report are the property of their respective owners. Solely for convenience, some of the trademarks, service marks and trade names referred to in this report are listed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 symbols, but we will assert, to the fullest extent under applicable law, our rights to our trademarks, service marks and trade names. This report may include trademarks, service marks and trade names owned by us or other companies. All trademarks, service marks and trade names included in this Annual Report are the property of their respective owners.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 SUMMARY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only a summary of the principal risks that may materially adversely affect our business, financial condition, results of operations and cash flows. The following summary should be read in conjunction with the complete discussion of risk factors we face, which are set forth below under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Terra Innovatum’s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We have incurred losses and have not generated any revenue since our inception. We anticipate that we will continue to incur losses, and expect that we will not generate revenue, for the foreseeable future.</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Our limited operating history makes it difficult to evaluate our future prospects and the risks and challenges we may encounter.</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We have not yet commercialized or sold the SOLO or any other micro-modular reactor (“</w:t>
            </w:r>
            <w:r>
              <w:rPr>
                <w:b/>
              </w:rPr>
              <w:t>MMR”</w:t>
            </w:r>
            <w:r>
              <w:rPr/>
              <w:t>), and there is no guarantee that we will be able to do so.</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limited operating experience or regulatory precedent for reactors of this type, configuration and scale, which may result in greater than expected construction and material costs, maintenance requirements, operating expense or delivery timing.</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Our cost estimates are highly sensitive to broader economic factors, and our ability to control or manage our costs may be limited.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Changes in the availability and cost of electricity, natural gas and other forms of energy are subject to volatile market conditions that could adversely affect our business.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We and our customers operate in a politically sensitive environment, and the public perception of nuclear energy can affect our customers and us.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caps w:val="false"/>
                <w:smallCaps w:val="false"/>
              </w:rPr>
            </w:pPr>
            <w:r>
              <w:rPr>
                <w:caps w:val="false"/>
                <w:smallCaps w:val="false"/>
              </w:rPr>
              <w:t>●</w:t>
            </w:r>
          </w:p>
        </w:tc>
        <w:tc>
          <w:tcPr>
            <w:tcW w:w="9988" w:type="dxa"/>
            <w:tcBorders/>
            <w:vAlign w:val="center"/>
          </w:tcPr>
          <w:p>
            <w:pPr>
              <w:pStyle w:val="TableContents"/>
              <w:bidi w:val="0"/>
              <w:spacing w:before="0" w:after="283"/>
              <w:jc w:val="left"/>
              <w:rPr/>
            </w:pPr>
            <w:r>
              <w:rPr/>
              <w:t>Our supply base may not be able to scale to the production levels necessary to meet sales projections.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Terra Innovatum’s Capital Resources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In order to fulfill our business plan, we will require substantial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Our corporate expenditures, including our corporate level expenses, are subject to numerous risks and uncertainties.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51" w:type="dxa"/>
            <w:tcBorders/>
            <w:vAlign w:val="center"/>
          </w:tcPr>
          <w:p>
            <w:pPr>
              <w:pStyle w:val="TableContents"/>
              <w:bidi w:val="0"/>
              <w:spacing w:before="0" w:after="283"/>
              <w:jc w:val="left"/>
              <w:rPr/>
            </w:pPr>
            <w:r>
              <w:rPr/>
              <w:t>We may experience a disproportionately higher impact from inflation and rising costs.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caps w:val="false"/>
                <w:smallCaps w:val="false"/>
              </w:rPr>
            </w:pPr>
            <w:r>
              <w:rPr>
                <w:caps w:val="false"/>
                <w:smallCaps w:val="false"/>
              </w:rPr>
              <w:t>●</w:t>
            </w:r>
          </w:p>
        </w:tc>
        <w:tc>
          <w:tcPr>
            <w:tcW w:w="9882" w:type="dxa"/>
            <w:tcBorders/>
            <w:vAlign w:val="center"/>
          </w:tcPr>
          <w:p>
            <w:pPr>
              <w:pStyle w:val="TableContents"/>
              <w:bidi w:val="0"/>
              <w:spacing w:before="0" w:after="283"/>
              <w:jc w:val="left"/>
              <w:rPr/>
            </w:pPr>
            <w:r>
              <w:rPr/>
              <w:t>Our financial results may vary significantly from quarter to quarter.</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Fluctuations in Foreign Currency Exchange Rates and Withholding Taxes May Adversely Affect Our Results of Operations and Cash 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Compliance with Law, Government Regulation and Litigation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Our business is subject to the policies, priorities, regulations and mandates of multiple governmental entities, and may be negatively or positively impacted by any change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Tax Matters Applicable to Terra Innovatum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aps w:val="false"/>
                <w:smallCaps w:val="false"/>
              </w:rPr>
            </w:pPr>
            <w:r>
              <w:rPr>
                <w:caps w:val="false"/>
                <w:smallCaps w:val="false"/>
              </w:rPr>
              <w:t>●</w:t>
            </w:r>
          </w:p>
        </w:tc>
        <w:tc>
          <w:tcPr>
            <w:tcW w:w="9953" w:type="dxa"/>
            <w:tcBorders/>
            <w:vAlign w:val="center"/>
          </w:tcPr>
          <w:p>
            <w:pPr>
              <w:pStyle w:val="TableContents"/>
              <w:bidi w:val="0"/>
              <w:spacing w:before="0" w:after="283"/>
              <w:jc w:val="left"/>
              <w:rPr/>
            </w:pPr>
            <w:r>
              <w:rPr/>
              <w:t>Changes in tax, tariff or fiscal policies could adversely affect demand for our products.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Changes to taxation or the interpretation or application of tax laws could have an adverse impact on our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Terra Shares and Terra Operating as a Public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Our only significant asset is our ownership interest in Terra OpCo, and such ownership may not be sufficient to satisfy our financial obligations.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If a U.S. person is treated as owning at least 10% of the shares of Terra, such person may be subject to adverse U.S. federal income tax consequences.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If analysts do not publish research about Terra’s business or if they publish inaccurate or unfavorable research, our share price and trading volume could decline.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 (“</w:t>
      </w:r>
      <w:r>
        <w:rPr>
          <w:rFonts w:ascii="Times New Roman;Times;Serif" w:hAnsi="Times New Roman;Times;Serif"/>
          <w:b/>
          <w:i w:val="false"/>
          <w:caps w:val="false"/>
          <w:smallCaps w:val="false"/>
          <w:sz w:val="20"/>
        </w:rPr>
        <w:t>we,” “us,” “our,” “Terra,” “Terra Innovatum”</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formed in connection with Terra Innovatum Global s.r.l.’s conversion into a Dutch public limited liability company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as contemplated by the Business Combination Agreement, and is headquartered in Lucca, Italy. Terra is a leading micro-modular nuclear solutions company that aims to deliver reliable, low-cost and zero-carbon power wherever energy demand is present through its first-of-a-kind reactor SOLO. SOLO is compact yet extremely powerful with one unit generating 1MWe of power, while designed with significant safety characteristics and the ability to run 24/7 without the need to refuel for 15 years. Its modular design aims to achieve maximum energy efficiency while significantly reducing the levelized cost of energy (LCOE). SOLO is built predominantly using off-the-shelf components and widely available fuel, low-enriched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which de-risks its regulatory and commercial pathway. Terra Innovatum aims to deploy SOLO by 2028 to address the growing global demand for sustainable and reliable energy.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we consummated our previously announced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pursuant to the business combination agreement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dated April 21, 2025, between GSR III and Terra Innovatum s.r.l., an Italian limited liability company (Italian Società a responsabilità limitata) (“</w:t>
      </w:r>
      <w:r>
        <w:rPr>
          <w:rFonts w:ascii="Times New Roman;Times;Serif" w:hAnsi="Times New Roman;Times;Serif"/>
          <w:b/>
          <w:i w:val="false"/>
          <w:caps w:val="false"/>
          <w:smallCaps w:val="false"/>
          <w:sz w:val="20"/>
        </w:rPr>
        <w:t>Terra OpCo”</w:t>
      </w:r>
      <w:r>
        <w:rPr>
          <w:rFonts w:ascii="Times New Roman;Times;Serif" w:hAnsi="Times New Roman;Times;Serif"/>
          <w:b w:val="false"/>
          <w:i w:val="false"/>
          <w:caps w:val="false"/>
          <w:smallCaps w:val="false"/>
          <w:sz w:val="20"/>
        </w:rPr>
        <w:t>), which contemplated several transactions and reorganizations through which Terra became the parent of GSR III. Pursuant to the terms of the Business Combination Agreement, Terra OpCo caused to be formed Terra Innovatum Global s.r.l., an Italian limited liability company (</w:t>
      </w:r>
      <w:r>
        <w:rPr>
          <w:rFonts w:ascii="Times New Roman;Times;Serif" w:hAnsi="Times New Roman;Times;Serif"/>
          <w:b w:val="false"/>
          <w:i/>
          <w:caps w:val="false"/>
          <w:smallCaps w:val="false"/>
          <w:sz w:val="20"/>
        </w:rPr>
        <w:t>Italian Società a responsabilità limitata</w:t>
      </w:r>
      <w:r>
        <w:rPr>
          <w:rFonts w:ascii="Times New Roman;Times;Serif" w:hAnsi="Times New Roman;Times;Serif"/>
          <w:b w:val="false"/>
          <w:i w:val="false"/>
          <w:caps w:val="false"/>
          <w:smallCaps w:val="false"/>
          <w:sz w:val="20"/>
        </w:rPr>
        <w:t>) with the same quotaholders in the same ownership percentages as Terra OpCo (“</w:t>
      </w:r>
      <w:r>
        <w:rPr>
          <w:rFonts w:ascii="Times New Roman;Times;Serif" w:hAnsi="Times New Roman;Times;Serif"/>
          <w:b/>
          <w:i w:val="false"/>
          <w:caps w:val="false"/>
          <w:smallCaps w:val="false"/>
          <w:sz w:val="20"/>
        </w:rPr>
        <w:t>Terra Global”</w:t>
      </w:r>
      <w:r>
        <w:rPr>
          <w:rFonts w:ascii="Times New Roman;Times;Serif" w:hAnsi="Times New Roman;Times;Serif"/>
          <w:b w:val="false"/>
          <w:i w:val="false"/>
          <w:caps w:val="false"/>
          <w:smallCaps w:val="false"/>
          <w:sz w:val="20"/>
        </w:rPr>
        <w:t>); Terra Global converted into a public limited liability company organized under Dutch law, referred to herein as “</w:t>
      </w:r>
      <w:r>
        <w:rPr>
          <w:rFonts w:ascii="Times New Roman;Times;Serif" w:hAnsi="Times New Roman;Times;Serif"/>
          <w:b/>
          <w:i w:val="false"/>
          <w:caps w:val="false"/>
          <w:smallCaps w:val="false"/>
          <w:sz w:val="20"/>
        </w:rPr>
        <w:t>Terra</w:t>
      </w:r>
      <w:r>
        <w:rPr>
          <w:rFonts w:ascii="Times New Roman;Times;Serif" w:hAnsi="Times New Roman;Times;Serif"/>
          <w:b w:val="false"/>
          <w:i w:val="false"/>
          <w:caps w:val="false"/>
          <w:smallCaps w:val="false"/>
          <w:sz w:val="20"/>
        </w:rPr>
        <w:t>”; GSR III was merged with and into Terra MergerCo (a wholly-owned Subsidiary of Terra), with GSR III surviving the merger as a wholly owned Subsidiary of Terra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xml:space="preserve">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our Ordinary Shares commenced trading on Nasdaq, under the symbol “NKLR.”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Mission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Innovatum’s mission is to make nuclear power accessible by delivering simple and safe micro-reactor solutions that are scalable, affordable and deployable anywhere, 1MWe at a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srl was incorporated under the laws of Italy on September 23, 2021 (“</w:t>
      </w:r>
      <w:r>
        <w:rPr>
          <w:rFonts w:ascii="Times New Roman;Times;Serif" w:hAnsi="Times New Roman;Times;Serif"/>
          <w:b/>
          <w:i w:val="false"/>
          <w:caps w:val="false"/>
          <w:smallCaps w:val="false"/>
          <w:sz w:val="20"/>
        </w:rPr>
        <w:t>Inception”</w:t>
      </w:r>
      <w:r>
        <w:rPr>
          <w:rFonts w:ascii="Times New Roman;Times;Serif" w:hAnsi="Times New Roman;Times;Serif"/>
          <w:b w:val="false"/>
          <w:i w:val="false"/>
          <w:caps w:val="false"/>
          <w:smallCaps w:val="false"/>
          <w:sz w:val="20"/>
        </w:rPr>
        <w:t>) and is headquartered in Lucca, Italy. Before Terra Innovatum’s incorporation, from 2018 to 2021 a team of engineers, who are now part of Terra Innovatum, contributed their time, effort and resources to advance the SOLO concept to design, demonstrating the feasibility and the innovative aspects.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is a nuclear reactor developer, focused on smaller, cheaper, and safer advanced clean energy solutions. Terra Innovatum’s flagship product, the SOLO Micro-Modular Nuclear Reactor (SOLO), is designed to operate continuously at full power for 15 years without refueling, with the potential for core/reactor swaps to extend the operational cycle up to 45 years. Its modular design aims to achieve maximum energy efficiency while significantly reducing the levelized cost of energy (“</w:t>
      </w:r>
      <w:r>
        <w:rPr>
          <w:rFonts w:ascii="Times New Roman;Times;Serif" w:hAnsi="Times New Roman;Times;Serif"/>
          <w:b/>
          <w:i w:val="false"/>
          <w:caps w:val="false"/>
          <w:smallCaps w:val="false"/>
          <w:sz w:val="20"/>
        </w:rPr>
        <w:t>LCOE”</w:t>
      </w:r>
      <w:r>
        <w:rPr>
          <w:rFonts w:ascii="Times New Roman;Times;Serif" w:hAnsi="Times New Roman;Times;Serif"/>
          <w:b w:val="false"/>
          <w:i w:val="false"/>
          <w:caps w:val="false"/>
          <w:smallCaps w:val="false"/>
          <w:sz w:val="20"/>
        </w:rPr>
        <w:t>). Terra Innovatum is committed to delivering carbon-free energy solutions and aims to achieve commercial deployment of SOLO by 2028 to address the growing global demand for sustainable and reliable energy.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believes the following characteristics make SOLO unique and position the Company well for successful regulatory approval and commercialization:</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 uses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fuel which is commercially available and for which a well-established supply chain exists today.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SOLO’s design inhibits the possibility of meltdown or explosion due to the use of a helium coolant instead of water and low thermal output.</w:t>
            </w:r>
          </w:p>
        </w:tc>
      </w:tr>
    </w:tbl>
    <w:p>
      <w:pPr>
        <w:pStyle w:val="TextBody"/>
        <w:bidi w:val="0"/>
        <w:spacing w:before="0" w:after="0"/>
        <w:ind w:left="960" w:right="0" w:hanging="48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ind w:left="0" w:right="0" w:hanging="0"/>
              <w:jc w:val="left"/>
              <w:rPr>
                <w:sz w:val="20"/>
              </w:rPr>
            </w:pPr>
            <w:r>
              <w:rPr>
                <w:sz w:val="20"/>
              </w:rPr>
              <w:t>Emergency Planning Zone (“</w:t>
            </w:r>
            <w:r>
              <w:rPr>
                <w:b/>
                <w:sz w:val="20"/>
              </w:rPr>
              <w:t>EPZ”</w:t>
            </w:r>
            <w:r>
              <w:rPr>
                <w:sz w:val="20"/>
              </w:rPr>
              <w:t>) expected to be limited to “Operations Boundary.”</w:t>
            </w:r>
          </w:p>
        </w:tc>
      </w:tr>
    </w:tbl>
    <w:p>
      <w:pPr>
        <w:pStyle w:val="TextBody"/>
        <w:bidi w:val="0"/>
        <w:spacing w:before="0" w:after="0"/>
        <w:ind w:left="960" w:right="0" w:hanging="48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sz w:val="20"/>
              </w:rPr>
            </w:pPr>
            <w:r>
              <w:rPr>
                <w:sz w:val="20"/>
              </w:rPr>
              <w:t>Proliferant resistance due to safeguards implemented by design.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lasting: each SOLO reactor is designed to operate for 15 years without refueling with a total potential lifespan of 45 years following core/reactor swaps; when High Assay Low Enriched Uranium (“</w:t>
            </w:r>
            <w:r>
              <w:rPr>
                <w:rFonts w:ascii="Times New Roman;Times;Serif" w:hAnsi="Times New Roman;Times;Serif"/>
                <w:b/>
                <w:i w:val="false"/>
                <w:caps w:val="false"/>
                <w:smallCaps w:val="false"/>
                <w:sz w:val="20"/>
              </w:rPr>
              <w:t>HALEU”</w:t>
            </w:r>
            <w:r>
              <w:rPr>
                <w:rFonts w:ascii="Times New Roman;Times;Serif" w:hAnsi="Times New Roman;Times;Serif"/>
                <w:b w:val="false"/>
                <w:i w:val="false"/>
                <w:caps w:val="false"/>
                <w:smallCaps w:val="false"/>
                <w:sz w:val="20"/>
              </w:rPr>
              <w:t>) becomes commercially available, SOLO reactors could operate for up to 45 years without refueling.</w:t>
            </w:r>
          </w:p>
        </w:tc>
      </w:tr>
    </w:tbl>
    <w:p>
      <w:pPr>
        <w:pStyle w:val="TextBody"/>
        <w:bidi w:val="0"/>
        <w:spacing w:before="0" w:after="0"/>
        <w:ind w:left="960" w:right="0" w:hanging="48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left"/>
              <w:rPr>
                <w:sz w:val="20"/>
              </w:rPr>
            </w:pPr>
            <w:r>
              <w:rPr>
                <w:sz w:val="20"/>
              </w:rPr>
              <w:t>Modularity by design: from 1MWe with 1 SOLO to 1GWe with approximately 1000 SOLOs.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Redundancy by design: on a fleet of 100 SOLOs (100Mwe), 1 reactor under maintenance leaves 99% of the power generation available during its outage.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to be assembled in factories and transported for erection on site in a cost efficient manner.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SOLO’s compact and modular design allows potential usage on smaller customer sites that would not typically be suitable for traditional nuclear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Innovatum’s primary business model is centered on the direct sale of SOLO reactors to customers seeking reliable and sustainable energy solutions, such as industrial operations, manufacturing facilities, remote locations, healthcare facilities, and data centers, among many others. We intend to manufacture these units by contracting with existing nuclear component suppliers, with final assembly expected to be completed in established facilities in the U.S., Europe and Asia before transporting them to customer sites. Each SOLO reactor is designed to be easily transported via standard highways and installed using pre-fabricated components, with the goal of dramatically reducing deployment time and costs compared to conventional nuclear facilities. In addition to reactor sales, we intend to offer service packages and periodic maintenance services throughout each unit’s operational lifetime.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is central to our mission. Our breakthrough ability to reach criticality using LEU fuel should enable expedited regulatory approval. The SOLO reactor incorporates redundant shutdown mechanisms and is encased in a 2.5 meter thick concrete housing (known as the “</w:t>
      </w:r>
      <w:r>
        <w:rPr>
          <w:rFonts w:ascii="Times New Roman;Times;Serif" w:hAnsi="Times New Roman;Times;Serif"/>
          <w:b/>
          <w:i w:val="false"/>
          <w:caps w:val="false"/>
          <w:smallCaps w:val="false"/>
          <w:sz w:val="20"/>
        </w:rPr>
        <w:t>monolith”</w:t>
      </w:r>
      <w:r>
        <w:rPr>
          <w:rFonts w:ascii="Times New Roman;Times;Serif" w:hAnsi="Times New Roman;Times;Serif"/>
          <w:b w:val="false"/>
          <w:i w:val="false"/>
          <w:caps w:val="false"/>
          <w:smallCaps w:val="false"/>
          <w:sz w:val="20"/>
        </w:rPr>
        <w:t>) providing biological shielding; hence, no EPZ beyond the operational boundary is expected to be required. This design should allow the deployment of SOLO in highly populated areas and sensitive locations where conventional nuclear plants and other Small Modular Reactors (“</w:t>
      </w:r>
      <w:r>
        <w:rPr>
          <w:rFonts w:ascii="Times New Roman;Times;Serif" w:hAnsi="Times New Roman;Times;Serif"/>
          <w:b/>
          <w:i w:val="false"/>
          <w:caps w:val="false"/>
          <w:smallCaps w:val="false"/>
          <w:sz w:val="20"/>
        </w:rPr>
        <w:t>SMRs”</w:t>
      </w:r>
      <w:r>
        <w:rPr>
          <w:rFonts w:ascii="Times New Roman;Times;Serif" w:hAnsi="Times New Roman;Times;Serif"/>
          <w:b w:val="false"/>
          <w:i w:val="false"/>
          <w:caps w:val="false"/>
          <w:smallCaps w:val="false"/>
          <w:sz w:val="20"/>
        </w:rPr>
        <w:t>) cannot be deployed, notably due to their larger footprints and associated EPZ.</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 is designed to deliver a highly competitive and stable LCOE over a 45-year period, with potential for further reduction when waste heat is utilized for industrial or commercial applications, a process known as “cogeneration”. Our regulatory engagement plan was submitted to the Nuclear Regulatory Commission in early 2025, and we are targeting licensing and commercial deployment of our First-of-a-Kind (FOAK) reactor by 2028.</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 customer base spans a number of diverse sectors — including industrial operations, manufacturing facilities, remote locations, healthcare facilities, and data centers, among many others. SOLO is designed to allow customers to purchase nuclear power generating capacity that can be deployed virtually anywhere it’s needed, providing point-of-use power and heat without reliance on transmission infrastructure. Focusing on using commercially proven materials and existing supply chains in the nuclear field, we are positioned to deliver reliable, affordable, and sustainable energy solutions to customers worldwide through our reactor sales and associated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Timeline and Costs for Deployment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estimated key dates in our timeline for deployment: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038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0384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energy industry is experiencing renewed interest as countries worldwide seek reliable, carbon-free energy solutions to address climate change concerns while meeting growing energy demands. SMRs and microreactors, like our SOLO technology, represent a new generation of nuclear solutions designed to overcome traditional barriers to nuclear deployment.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execution of our business model depends, among other considerations, on favorable regulatory environments, public acceptance of nuclear power, and continued policy support for advanced nuclear technologies. Recently, in the United States and globally, governments have demonstrated increased support for next-generation nuclear technologies through initiatives such as the Nuclear Regulatory Commission’s improved frameworks for reviewing innovative designs and the Department of Energy’s programs supporting advanced reactor development. However, the regulatory and political landscape could shift at any time due to factors beyond our control, including changes in administrations, public perception shifts following nuclear-related incidents, or evolving energy priorities.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Microreactor deployment faces unique challenges and opportunities compared to traditional nuclear plants and larger SMRs. While our SOLO reactor’s inherent safety features, small footprint, and envisioned absence of an EPZ requirement position us favorably for widespread adoption, we must navigate complex regulatory pathways that are still evolving for this new class of nuclear technology. Our ability to use commercially available LEU fuel provides a significant advantage over competitors requiring HALEU looking into the commercial readiness aspect.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adoption of microreactor technologies like SOLO will depend in part on our ability to demonstrate safety, reliability, and economic competitiveness against both traditional energy sources and other emerging technologies. The current market shift toward distributed energy resources and increasing demand for reliable, carbon-free power in applications ranging from data centers to remote industrial operations presents significant opportunities for our technology. However, public perception about nuclear energy, local community reaction to the installation of nuclear reactors, delays in regulatory approvals, or changes in energy economics could impact the pace of adoption and our overall business performance.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work toward commercializing our SOLO reactor, our performance will depend in part on factors affecting the broader nuclear industry and energy markets, which remain subject to technological, regulatory, and political influences that are difficult to predict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markets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is intended to provide transformative micro-modular nuclear reactor solutions for industries requiring reliable, scalable, and carbon-free energy. The SOLO platform delivers electricity and/or heat (e.g. by means of high-temperature steam) to markets where conventional infrastructure is constrained, costly, or environmentally unsustainable. We believe that the SOLO solution can address six critical industry sectors through standardized, modular deployment, including: Industrial Applications, Logistics and Transportation, Data Centers, Energy Storage, Civil and Commercial Facilities and Underserved Communities.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with nuclear component suppliers, engineering firms, and construction partners to deliver complete SOLO reactor systems. By focusing on commercially available components and simplified design, we can address these diverse sectors with a standardized product that can be deployed virtually anywhere energy is needed and we can be flexible in the project development business model.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key element of SOLO is its modularity. The SOLO provides energy production upon installation of the first module, allowing customers to scale as needed in a cost-effective manner without sacrificing its energy needs. As the reactor is expected to have a small EPZ, we can satisfy any demand ranging from MW to GW by replicating the reactor as many times is needed to cover the customer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Industrial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 is designed to serve a wide range of industrial customers requiring both electricity and process heat. Our 1MWe power generation capability combined with 4MW of 55°C heat or 5MW of 450°C steam addresses critical energy needs across industries including cement production, food processing, paper mills, chemical plants, pharmaceutical facilities, and mining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reactors will provide industrial customers with stable energy costs, reduced carbon emissions, and enhanced reliability, particularly in remote locations or regions with expensive grid electricity.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is designed to support industrial processes that traditionally rely on fossil fuel boilers, offering significant decarbonization opportunities. This energy source is specifically relevant for sugar refiners, breweries and distilleries (other than food processing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Logistics and Transportation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logistics sector requires consistent power for frozen storage facilities, automated distribution centers, shipping ports, airports, and Electric Vehicle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charging infrastructure, among a number of other applications. SOLO reactors provide the reliable electricity needed for these operations while offering waste heat utilization for facility climate control or specific process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eliminating dependency on diesel generators or unreliable grid connections, our technology can enable more sustainable and cost-effective logistics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Centers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growing data center market faces significant challenges including power availability constraints, land use and water restrictions, and grid capacity limitations. SOLO reactors address these challenges through their compact 10m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footprint, which dramatically reduces land requirements compared to conventional power generation facilities and helps avoid the increasing land use conflicts seen in specific densely populated areas in the United States and Europe where data center development has faced restrictions due to competing community needs.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behind-the-meter, off-grid capability can reduce reliance on strained electrical infrastructure, allowing data centers to bypass the typical long waiting period for grid power access experienced in the United States and Europe.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reactor’s modular approach may enable data center operators to deploy power capacity incrementally at 1MWe per module, aligning energy supply with facility construction phases and commercial ramp-up rather than waiting for full commissioning of large-scale power plants and its design features allows for load-follows operation with a very limited battery energy storage capacity.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scalability supports both colocation and hyperscale facilities with the ability to deploy multiple units to meet capacity requirements up to 1GW. Our approach offers superior reliability and redundancy compared to traditional grid connections while simultaneously eliminating carbon emissions.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heat from SOLO reactors can be utilized for building heating or sold to district heating systems or through heat pumps generating air conditioning, further enhancing efficiency and creating additional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Energy Storage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SOLO micro nuclear reactor platform is ideally suited to enable advanced energy storage.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providing reliable, carbon-free electricity, SOLO can support the production of pink hydrogen through electrolysis.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ammonia and fertilizer plants, SOLO’s electricity and heat can replace fossil-fuel boilers, enabling large-scale decarbonization of ammonia synthesis — critical steps for both food security and emerging clean energy markets.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Biofuel refineries can also benefit from SOLO’s process heat and power, which can efficiently drive distillation, fermentation, and pumping, lowering the carbon intensity of ethanol and biodiesel production while displacing diesel or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Civil and Commercial Facilities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facilities such as hospitals, airports, water treatment facilities and hotels require uninterrupted power for continuous operation.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 is designed to deliver 1MWe of baseload power with additional thermal energy that can be utilized for space heating, water heating, and other facility needs.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hospitals specifically, our technology is designed to enable both reliable power and the production of radioisotopes for medical applications such as cancer treatment and diagnostics, bringing these capabilities to facilities that might otherwise lack access to such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Underserved Communities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Remote locations, islands, and communities with limited grid access traditionally rely on expensive, polluting diesel generation. SOLO reactors offer transformative energy solutions for these markets, providing stable electricity at predictable costs for basic needs, agricultural irrigation and water desalination. By eliminating dependence on diesel fuel logistics, price fluctuations and negative environmental impacts, our technology can enable sustainable energy independence and economic development in underserved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Electricity and Thermal Capacity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outputs 1MW electric produced by transforming 4MW of heat powered by the same type of LEU fuel that powers most nuclear facilities in the world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Overall Dimensions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reactor is compact with overall dimensions of approximately 6.5m in height, a cross section of 2.4 m and weighing 60 metric tons in total (reactor core is less than 20 metric tons). SOLO can be assembled in many existing nuclear manufacturing facilities and can be transported on most U.S. and European highways.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Fuel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can use LEU, leveraging the vast operational experience accumulated by the various fuel vendors over the past decades.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is prepared to accommodate future technologies notably on fuel perspective, being compatible with HALEU products when licensed and commercially available.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provides a platform able to transition to new developments e.g. potentially benefitting of significant extension of its fuel cycle employing HALEU or adopting current and future accident tolerant fuel (ATF) solutions related to new clad material, which would allow an increase of the thermodynamic efficiency and possibly extending its industrial applications.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457700" cy="412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57700" cy="412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i/>
                <w:sz w:val="20"/>
              </w:rPr>
            </w:pPr>
            <w:r>
              <w:rPr>
                <w:i/>
                <w:sz w:val="20"/>
              </w:rPr>
              <w:t>(1)</w:t>
            </w:r>
          </w:p>
        </w:tc>
        <w:tc>
          <w:tcPr>
            <w:tcW w:w="9988" w:type="dxa"/>
            <w:tcBorders/>
            <w:vAlign w:val="center"/>
          </w:tcPr>
          <w:p>
            <w:pPr>
              <w:pStyle w:val="TableContents"/>
              <w:bidi w:val="0"/>
              <w:spacing w:before="0" w:after="283"/>
              <w:jc w:val="left"/>
              <w:rPr>
                <w:i/>
                <w:sz w:val="20"/>
              </w:rPr>
            </w:pPr>
            <w:r>
              <w:rPr>
                <w:i/>
                <w:sz w:val="20"/>
              </w:rPr>
              <w:t>Based on the neutronics analysis, with the use of HALEU, SOLO could either (i) operate at a large power output of 20MWt for 15-years, or (ii) operate at the same power output of 4MWt for ~70 years. Increasing the power output, however, would require a change to the design of the reactor, while operating at the same power for a longer period of time would not require such design changes.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can also benefit from current and future accident tolerant fuel (ATF) solutions related to new clad material, which would allow an increase of the average working temperature, consequently improving the thermodynamic efficiency and possibly extending its industrial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Fuel Rods/Moderator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fuel rods contain UO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Pellets at 4.95% U-235 enrichment level in Zircalloy clad (same as operating Light Water Reactors). The moderator is a made of a solid heterogeneous Beryllium and Graphite matrix.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Coolant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is a gas cooled reactor. The coolant, which is helium gas, enters the bottom of the reactor, is heated while passing through dedicated channels adjacent to the fuel rods and collected into the upper plenum. Keeping a physical separation between the coolant and the fuel rods is a very important design feature. After being heated, the helium moves from the upper plenum to a heat exchanger transferring the heat to the secondary circuit for the production of electricity.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53025" cy="3009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53025" cy="3009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Multiple Redundant Shutdown Mechanisms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reactor is controlled when everything is operating normally using 12 control drums. The control drums are built with a N+3 redundancy: 9 out of 12 drums are sufficient to ensure the control function up to shut down the reactor. In addition to the control system, we built 3 different active and passive and diverse shutdown mechanisms; each of which has its own redundancy. These 3 shutdown systems can be relied upon in case of malfunction or incident:</w:t>
      </w:r>
    </w:p>
    <w:p>
      <w:pPr>
        <w:pStyle w:val="TextBody"/>
        <w:bidi w:val="0"/>
        <w:spacing w:before="0" w:after="0"/>
        <w:ind w:left="0" w:right="0" w:firstLine="36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pPr>
            <w:r>
              <w:rPr/>
              <w:t>12 shutdown drums: 9 of which are enough to shut down the reactor.</w:t>
            </w:r>
          </w:p>
        </w:tc>
      </w:tr>
    </w:tbl>
    <w:p>
      <w:pPr>
        <w:pStyle w:val="TextBody"/>
        <w:bidi w:val="0"/>
        <w:spacing w:before="0" w:after="0"/>
        <w:ind w:left="0" w:right="0" w:firstLine="36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left"/>
              <w:rPr/>
            </w:pPr>
            <w:r>
              <w:rPr/>
              <w:t>6 shutdown rods, 5 of which are enough to shut down the reactor.</w:t>
            </w:r>
          </w:p>
        </w:tc>
      </w:tr>
    </w:tbl>
    <w:p>
      <w:pPr>
        <w:pStyle w:val="TextBody"/>
        <w:bidi w:val="0"/>
        <w:spacing w:before="0" w:after="0"/>
        <w:ind w:left="0" w:right="0" w:firstLine="36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pPr>
            <w:r>
              <w:rPr/>
              <w:t>6 shutdown rodlets, 5 of which are enough to shut down the reactor.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00675" cy="261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00675" cy="2619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Monolith: Biological Shield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is encased in all sides by the about 2.5m thick concrete block, the Monolith, which serves as a biological shield from radiation and the decay heat removal system. With the Monolith, decay heat is removed by natural convection. Since the radiation that reaches the outside of the Monolith is almost non-existent, we expect that an EPZ will be limited to the external boundary of the Monolith.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Unique Technology and Safety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has been purposefully engineered as a compact 1MWe+4Mwt at 55°C/5MWt at 450°C reactor to prioritize safety. Its low thermal power output eliminates the risk of core meltdown. By using helium as a coolant instead of water, SOLO also avoids the danger of hydrogen explosions. Beside the elimination by physics of such catastrophic events the design benefits of the helium’s inert nature which allow the exclusion of corrosion issues on any reactor and coolant piping components. The reactor is equipped with multiple independent shutdown mechanisms and is enclosed within the Monolith, potentially allowing it to operate without the need for an EPZ to increase safety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Certainty and Fast Time to Market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safety-related component of SOLO, including fuel, is sourced from the existing nuclear supply chain. Non safety-related components such as turbines, heat exchangers, condensers, etc. are commercially-off-the-shelf components from tradition non-nuclear suppliers. This approach promotes predictable regulatory pathways, reliable commercialization, and cost visibility. Multiple suppliers are available for each key component, reducing supply chain risk and supporting rapid deployment. The simulations associated with the design and components can be executed with existing codes licensed for nuclear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SOLO’s simple design and use of off-the-shelf materials minimize R&amp;D requirements and streamline the licensing process. The regulatory engagement plan with the NRC is already underway, targeting commercial deployment in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Competitiveness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SOLO’s LCOE is expected to be highly competitive globally, especially in the U.S. and European markets.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reactor’s co-generation capability (simultaneous production of electricity and usable heat) allows customers to offset heating costs, potentially reducing the effective electricity price further. We believe additional savings might be obtained where carbon credits are available for emission reductions.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SOLO’s modularity enables customers to scale installations precisely to their needs, with significant cost savings due to reduced transmission infrastructure and on-site assembly.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Operational Flexibility and Market Reach</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 can be a source of electricity, heat, co-generation, or radioisotopes, serving a diverse range of sectors: industrial, infrastructure, medical, data centers, and more.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modular, factory-assembled design allows SOLO to be shipped globally and installed quickly, even in challenging environments. Its compact size and limited weight support transport on standard highways and fast on-site installation.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SOLO reactor is compatible with both LEU and, when available, HALEU, ensuring future-proof fuel flexibility, potentially excluding the need of core/reactor replacement to cover the 45 year life span of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Scalability and Redundancy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SOLO’s modularity means installations can be scaled from a single unit to hundreds or even thousands, providing energy redundancy and minimizing the impact of individual reactor outages. A 1,000-unit SOLO installation occupies less dedicated land (including EPZ) than a typical 1 GW reactor (when inclusive of a reactor’s required EPZ), at a fraction of the cost and with enhanced reliability.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U.S. federal, state, and local laws and regulations, as well as foreign laws, covering a broad range of areas relevant to our operations. These regulatory requirements are continually evolving, both domestically and internationally, resulting in an expanding scope of compliance obligations. Key areas of regulation include nuclear energy and materials, environmental protection, export controls, national security, and other legal domains. Like other participants in the commercial nuclear industry, we operate under significant scrutiny from regulatory authorities in the U.S. and abroad, and many applicable laws and regulations are subject to ongoing interpretation and change by agencies and courts. Compliance with these requirements can be complex and costly, potentially affecting our business model, competitive position, and financial results.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industry is highly regulated worldwide, and the design, construction, and operation of nuclear facilities require regulatory approval in each jurisdiction. Nuclear safety regulators typically assess design safety, resilience to internal and external hazards, and environmental impacts. Regulatory processes are country-specific, though international collaboration among regulators is common, especially when a design is deployed in multiple markets. Our licensing strategy aims to secure timely approvals by engaging early with regulators and maintaining a consistent design across markets, leveraging the U.S. Nuclear Regulatory Commission’s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approval of the design as a foundation.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Internationally, most countries restrict license applications to the proposed plant owner or operator. We intend to engage proactively with regulators in each target country, consistent with our approach in the U.S. The NRC’s established relationships with foreign regulators and participation in international organizations such as the International Atomic Energy Agency (“</w:t>
      </w:r>
      <w:r>
        <w:rPr>
          <w:rFonts w:ascii="Times New Roman;Times;Serif" w:hAnsi="Times New Roman;Times;Serif"/>
          <w:b/>
          <w:i w:val="false"/>
          <w:caps w:val="false"/>
          <w:smallCaps w:val="false"/>
          <w:sz w:val="20"/>
        </w:rPr>
        <w:t>IAEA”</w:t>
      </w:r>
      <w:r>
        <w:rPr>
          <w:rFonts w:ascii="Times New Roman;Times;Serif" w:hAnsi="Times New Roman;Times;Serif"/>
          <w:b w:val="false"/>
          <w:i w:val="false"/>
          <w:caps w:val="false"/>
          <w:smallCaps w:val="false"/>
          <w:sz w:val="20"/>
        </w:rPr>
        <w:t>) are expected to support our efforts to obtain regulatory approvals abroad and provide additional confidence in our technology. We also anticipate benefiting from the NRC’s regulatory assistance programs, which facilitate collaboration and information sharing with other national regulators. Beyond nuclear safety, our activities are also subject to other regulatory controls, including export control laws, nuclear material safeguards, non-proliferation obligations, and liability insurance regimes such as the Price-Anderson Act and international conventions. Compliance with these additional requirements may further impact our operations, costs, and risk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Patents and Proprietary Rights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strategically protect our intellectual property through a combination of patents, trademarks, trade secrets, confidentiality agreements, and licensing arrangements both domestically and internationally, with plans to strengthen this protection framework as our technology portfolio expands.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filed patent applications specifically address our advanced reactor designs, passive safety systems, digital twin technology, and specialized nuclear instrumentation and control systems critical to our micro-modular reactor technologies. Patent Protection is expected to last until approximately 21 years from the earliest provisional filing date, which would be in 2046 taking into consideration the possibility of a short-term patent term extension and full payment of all fees.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Provisional patents expire one year from their filing date, however such patents remain patent pending as long as a Patent Cooperation Treaty or National phase application claiming a benefit to that provisional patent was filed on or before the one year deadline. The filing of the Regular, PCT or National phase application starts the 20 year available patent term. Together with the one year term of the Provisional Patent, the potential patent term will be approximately 21 years from the filing dates of the provisional applications. There are various factors that might extend or shorten patent terms, including without limitation, (i) excessive delays within the patent office that could result in extensions to the patent term, (ii) Terminal disclaimers that tie patent terms to other patents, and (iii) timely payment of maintenance fees to retain the patent(s) after issue.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PCT filings for two provisional patents on April 20, 2026.</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26"/>
        <w:gridCol w:w="60"/>
        <w:gridCol w:w="754"/>
        <w:gridCol w:w="60"/>
        <w:gridCol w:w="1199"/>
        <w:gridCol w:w="60"/>
        <w:gridCol w:w="1046"/>
      </w:tblGrid>
      <w:tr>
        <w:trPr/>
        <w:tc>
          <w:tcPr>
            <w:tcW w:w="7026" w:type="dxa"/>
            <w:tcBorders>
              <w:bottom w:val="single" w:sz="12" w:space="0" w:color="000000"/>
            </w:tcBorders>
            <w:shd w:fill="FFFFFF" w:val="clear"/>
            <w:vAlign w:val="center"/>
          </w:tcPr>
          <w:p>
            <w:pPr>
              <w:pStyle w:val="TableContents"/>
              <w:bidi w:val="0"/>
              <w:spacing w:before="0" w:after="283"/>
              <w:jc w:val="left"/>
              <w:rPr>
                <w:b/>
              </w:rPr>
            </w:pPr>
            <w:r>
              <w:rPr>
                <w:b/>
              </w:rPr>
              <w:t>U.S. Patent Application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 w:type="dxa"/>
            <w:tcBorders>
              <w:bottom w:val="single" w:sz="12" w:space="0" w:color="000000"/>
            </w:tcBorders>
            <w:shd w:fill="FFFFFF" w:val="clear"/>
            <w:vAlign w:val="center"/>
          </w:tcPr>
          <w:p>
            <w:pPr>
              <w:pStyle w:val="TableContents"/>
              <w:bidi w:val="0"/>
              <w:spacing w:before="0" w:after="283"/>
              <w:jc w:val="center"/>
              <w:rPr>
                <w:b/>
              </w:rPr>
            </w:pPr>
            <w:r>
              <w:rPr>
                <w:b/>
              </w:rPr>
              <w:t>File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vAlign w:val="center"/>
          </w:tcPr>
          <w:p>
            <w:pPr>
              <w:pStyle w:val="TableContents"/>
              <w:bidi w:val="0"/>
              <w:spacing w:before="0" w:after="283"/>
              <w:jc w:val="center"/>
              <w:rPr>
                <w:b/>
              </w:rPr>
            </w:pPr>
            <w:r>
              <w:rPr>
                <w:b/>
              </w:rPr>
              <w:t xml:space="preserve">Regular/PCT </w:t>
              <w:br/>
              <w:t>Due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vAlign w:val="center"/>
          </w:tcPr>
          <w:p>
            <w:pPr>
              <w:pStyle w:val="TableContents"/>
              <w:bidi w:val="0"/>
              <w:spacing w:before="0" w:after="283"/>
              <w:ind w:left="0" w:right="0" w:hanging="180"/>
              <w:jc w:val="center"/>
              <w:rPr>
                <w:b/>
              </w:rPr>
            </w:pPr>
            <w:r>
              <w:rPr>
                <w:b/>
              </w:rPr>
              <w:t xml:space="preserve">Potential </w:t>
              <w:br/>
              <w:t xml:space="preserve">Patent </w:t>
              <w:br/>
              <w:t>Expiration</w:t>
            </w:r>
          </w:p>
        </w:tc>
      </w:tr>
      <w:tr>
        <w:trPr/>
        <w:tc>
          <w:tcPr>
            <w:tcW w:w="7026" w:type="dxa"/>
            <w:tcBorders/>
            <w:shd w:fill="CCEEFF" w:val="clear"/>
            <w:tcMar>
              <w:bottom w:w="0" w:type="dxa"/>
            </w:tcMar>
            <w:vAlign w:val="center"/>
          </w:tcPr>
          <w:p>
            <w:pPr>
              <w:pStyle w:val="TableContents"/>
              <w:bidi w:val="0"/>
              <w:spacing w:before="0" w:after="283"/>
              <w:jc w:val="left"/>
              <w:rPr/>
            </w:pPr>
            <w:r>
              <w:rPr/>
              <w:t>Small And Micro Nuclear Reactors And Conductive Solid Moderator Assemblies With Embedded Nuclear Fuel Used Therein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center"/>
              <w:rPr>
                <w:b/>
              </w:rPr>
            </w:pPr>
            <w:r>
              <w:rPr>
                <w:b/>
              </w:rPr>
              <w:t>8/25/2024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center"/>
              <w:rPr>
                <w:b/>
              </w:rPr>
            </w:pPr>
            <w:r>
              <w:rPr>
                <w:b/>
              </w:rPr>
              <w:t>8/25/2025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ind w:left="0" w:right="0" w:hanging="180"/>
              <w:jc w:val="center"/>
              <w:rPr>
                <w:b/>
              </w:rPr>
            </w:pPr>
            <w:r>
              <w:rPr>
                <w:b/>
              </w:rPr>
              <w:t>8/25/2045</w:t>
            </w:r>
          </w:p>
        </w:tc>
      </w:tr>
      <w:tr>
        <w:trPr/>
        <w:tc>
          <w:tcPr>
            <w:tcW w:w="7026" w:type="dxa"/>
            <w:tcBorders/>
            <w:shd w:fill="FFFFFF" w:val="clear"/>
            <w:tcMar>
              <w:bottom w:w="0" w:type="dxa"/>
            </w:tcMar>
            <w:vAlign w:val="center"/>
          </w:tcPr>
          <w:p>
            <w:pPr>
              <w:pStyle w:val="TableContents"/>
              <w:bidi w:val="0"/>
              <w:spacing w:before="0" w:after="283"/>
              <w:jc w:val="left"/>
              <w:rPr/>
            </w:pPr>
            <w:r>
              <w:rPr/>
              <w:t>Control And Shutdown System For Small And Micro Nuclear Reactors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center"/>
              <w:rPr>
                <w:b/>
              </w:rPr>
            </w:pPr>
            <w:r>
              <w:rPr>
                <w:b/>
              </w:rPr>
              <w:t>8/25/2024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center"/>
              <w:rPr>
                <w:b/>
              </w:rPr>
            </w:pPr>
            <w:r>
              <w:rPr>
                <w:b/>
              </w:rPr>
              <w:t>8/25/2025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ind w:left="0" w:right="0" w:hanging="180"/>
              <w:jc w:val="center"/>
              <w:rPr>
                <w:b/>
              </w:rPr>
            </w:pPr>
            <w:r>
              <w:rPr>
                <w:b/>
              </w:rPr>
              <w:t>8/25/2045</w:t>
            </w:r>
          </w:p>
        </w:tc>
      </w:tr>
      <w:tr>
        <w:trPr/>
        <w:tc>
          <w:tcPr>
            <w:tcW w:w="7026" w:type="dxa"/>
            <w:tcBorders/>
            <w:shd w:fill="CCEEFF" w:val="clear"/>
            <w:tcMar>
              <w:bottom w:w="0" w:type="dxa"/>
            </w:tcMar>
            <w:vAlign w:val="center"/>
          </w:tcPr>
          <w:p>
            <w:pPr>
              <w:pStyle w:val="TableContents"/>
              <w:bidi w:val="0"/>
              <w:spacing w:before="0" w:after="283"/>
              <w:jc w:val="left"/>
              <w:rPr/>
            </w:pPr>
            <w:r>
              <w:rPr/>
              <w:t>Control And Shutdown System For Small And Micro Nuclear Reactors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center"/>
              <w:rPr>
                <w:b/>
              </w:rPr>
            </w:pPr>
            <w:r>
              <w:rPr>
                <w:b/>
              </w:rPr>
              <w:t>1/10/2025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center"/>
              <w:rPr>
                <w:b/>
              </w:rPr>
            </w:pPr>
            <w:r>
              <w:rPr>
                <w:b/>
              </w:rPr>
              <w:t>1/10/2026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ind w:left="0" w:right="0" w:hanging="180"/>
              <w:jc w:val="center"/>
              <w:rPr>
                <w:b/>
              </w:rPr>
            </w:pPr>
            <w:r>
              <w:rPr>
                <w:b/>
              </w:rPr>
              <w:t>1/10/2046</w:t>
            </w:r>
          </w:p>
        </w:tc>
      </w:tr>
      <w:tr>
        <w:trPr/>
        <w:tc>
          <w:tcPr>
            <w:tcW w:w="7026" w:type="dxa"/>
            <w:tcBorders/>
            <w:shd w:fill="FFFFFF" w:val="clear"/>
            <w:tcMar>
              <w:bottom w:w="0" w:type="dxa"/>
            </w:tcMar>
            <w:vAlign w:val="center"/>
          </w:tcPr>
          <w:p>
            <w:pPr>
              <w:pStyle w:val="TableContents"/>
              <w:bidi w:val="0"/>
              <w:spacing w:before="0" w:after="283"/>
              <w:jc w:val="left"/>
              <w:rPr/>
            </w:pPr>
            <w:r>
              <w:rPr/>
              <w:t>Small and Micro Nuclear Reactor with Real Time Integrated Safeguard Systems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center"/>
              <w:rPr>
                <w:b/>
              </w:rPr>
            </w:pPr>
            <w:r>
              <w:rPr>
                <w:b/>
              </w:rPr>
              <w:t>1/13/2025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center"/>
              <w:rPr>
                <w:b/>
              </w:rPr>
            </w:pPr>
            <w:r>
              <w:rPr>
                <w:b/>
              </w:rPr>
              <w:t>1/13/2026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ind w:left="0" w:right="0" w:hanging="180"/>
              <w:jc w:val="center"/>
              <w:rPr>
                <w:b/>
              </w:rPr>
            </w:pPr>
            <w:r>
              <w:rPr>
                <w:b/>
              </w:rPr>
              <w:t>1/13/2046</w:t>
            </w:r>
          </w:p>
        </w:tc>
      </w:tr>
      <w:tr>
        <w:trPr/>
        <w:tc>
          <w:tcPr>
            <w:tcW w:w="7026" w:type="dxa"/>
            <w:tcBorders/>
            <w:shd w:fill="CCEEFF" w:val="clear"/>
            <w:tcMar>
              <w:bottom w:w="0" w:type="dxa"/>
            </w:tcMar>
            <w:vAlign w:val="center"/>
          </w:tcPr>
          <w:p>
            <w:pPr>
              <w:pStyle w:val="TableContents"/>
              <w:bidi w:val="0"/>
              <w:spacing w:before="0" w:after="283"/>
              <w:jc w:val="left"/>
              <w:rPr/>
            </w:pPr>
            <w:r>
              <w:rPr/>
              <w:t>Reactor Vessel Shell And Integrated Radiological Containment For Small And Micro Nuclear Reactors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center"/>
              <w:rPr>
                <w:b/>
              </w:rPr>
            </w:pPr>
            <w:r>
              <w:rPr>
                <w:b/>
              </w:rPr>
              <w:t>4/20/2025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center"/>
              <w:rPr>
                <w:b/>
              </w:rPr>
            </w:pPr>
            <w:r>
              <w:rPr>
                <w:b/>
              </w:rPr>
              <w:t>4/20/2026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ind w:left="0" w:right="0" w:hanging="180"/>
              <w:jc w:val="center"/>
              <w:rPr>
                <w:b/>
              </w:rPr>
            </w:pPr>
            <w:r>
              <w:rPr>
                <w:b/>
              </w:rPr>
              <w:t>4/20/2046</w:t>
            </w:r>
          </w:p>
        </w:tc>
      </w:tr>
      <w:tr>
        <w:trPr/>
        <w:tc>
          <w:tcPr>
            <w:tcW w:w="7026" w:type="dxa"/>
            <w:tcBorders/>
            <w:shd w:fill="FFFFFF" w:val="clear"/>
            <w:tcMar>
              <w:bottom w:w="0" w:type="dxa"/>
            </w:tcMar>
            <w:vAlign w:val="center"/>
          </w:tcPr>
          <w:p>
            <w:pPr>
              <w:pStyle w:val="TableContents"/>
              <w:bidi w:val="0"/>
              <w:spacing w:before="0" w:after="283"/>
              <w:jc w:val="left"/>
              <w:rPr/>
            </w:pPr>
            <w:r>
              <w:rPr/>
              <w:t>Radioisotopes Production with Nuclear Micro-Reactor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center"/>
              <w:rPr>
                <w:b/>
              </w:rPr>
            </w:pPr>
            <w:r>
              <w:rPr>
                <w:b/>
              </w:rPr>
              <w:t>4/20/2025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center"/>
              <w:rPr>
                <w:b/>
              </w:rPr>
            </w:pPr>
            <w:r>
              <w:rPr>
                <w:b/>
              </w:rPr>
              <w:t>4/20/2026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center"/>
              <w:rPr>
                <w:b/>
              </w:rPr>
            </w:pPr>
            <w:r>
              <w:rPr>
                <w:b/>
              </w:rPr>
              <w:t>4/20/2046</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engage with international and local regulatory bodies and existing frameworks to safeguard our innovations across various jurisdictions. However, certain countries where our reactor components may be manufactured or where our reactor systems may be deployed may offer less robust protection for nuclear intellectual property compared to the United States or European Union regulatory environments.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strategy employs a systematic assessment framework considering:</w:t>
      </w:r>
    </w:p>
    <w:p>
      <w:pPr>
        <w:pStyle w:val="TextBody"/>
        <w:bidi w:val="0"/>
        <w:spacing w:before="0" w:after="0"/>
        <w:ind w:left="960" w:right="0" w:hanging="48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260"/>
        <w:gridCol w:w="636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sz w:val="20"/>
              </w:rPr>
            </w:pPr>
            <w:r>
              <w:rPr>
                <w:sz w:val="20"/>
              </w:rPr>
              <w:t>Critical component manufacturing locations and supply chain considerations;</w:t>
            </w:r>
          </w:p>
        </w:tc>
      </w:tr>
    </w:tbl>
    <w:p>
      <w:pPr>
        <w:pStyle w:val="TextBody"/>
        <w:bidi w:val="0"/>
        <w:spacing w:before="0" w:after="0"/>
        <w:ind w:left="960" w:right="0" w:hanging="48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260"/>
        <w:gridCol w:w="71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sz w:val="20"/>
              </w:rPr>
            </w:pPr>
            <w:r>
              <w:rPr>
                <w:sz w:val="20"/>
              </w:rPr>
              <w:t>Strategic nuclear technology development pathways across different regulatory regimes;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960" w:right="0" w:hanging="48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260"/>
        <w:gridCol w:w="83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sz w:val="20"/>
              </w:rPr>
            </w:pPr>
            <w:r>
              <w:rPr>
                <w:sz w:val="20"/>
              </w:rPr>
              <w:t>Nuclear-specific intellectual property enforcement mechanisms in target deployment jurisdictions; and</w:t>
            </w:r>
          </w:p>
        </w:tc>
      </w:tr>
    </w:tbl>
    <w:p>
      <w:pPr>
        <w:pStyle w:val="TextBody"/>
        <w:bidi w:val="0"/>
        <w:spacing w:before="0" w:after="0"/>
        <w:ind w:left="960" w:right="0" w:hanging="48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260"/>
        <w:gridCol w:w="92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left"/>
              <w:rPr>
                <w:sz w:val="20"/>
              </w:rPr>
            </w:pPr>
            <w:r>
              <w:rPr>
                <w:sz w:val="20"/>
              </w:rPr>
              <w:t>Commercial significance relative to established and emerging competitors in specific nuclear markets and regions.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establish licensing agreements for certain specialized nuclear technologies from third-party developers and anticipate continued expansion of such arrangements as our reactor deployment roadmap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Manufacturing and supply chain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 a fabless and contract manufacturing strategy, and expect to contract with key suppliers for all phases of the manufacturing process. We expect that this will eliminate the need for an in-house factory and will allow us to use existing manufacturing facilities. We leverage the expertise of industry-leading suppliers that comply with nuclear quality assurance standards  — including 10 CFR 50 Appendix B — in areas including fabrication, assembly, quality control, reliability testing, and licensing. We expect micro reactors like SOLO be regulated under the pending 10 CFR Part 57, a new regulation tailored to reactors like SOLO. This approach may allow Terra Innovatum to avoid the significant costs and risks associated with owning and operating manufacturing facilities while enabling scalability and rapid response to markets changing conditions.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directly procure certain critical raw materials used in our products, such as moderators, fuel, and specialized components, our suppliers are expected to manage procurement for most other components. This enables us to focus our resources on product design, licensing, quality assurance, marketing, and customer engagement.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anticipate high growth periods, we may place non-cancellable inventory orders for certain components ahead of historical lead times, pay premiums, or provide deposits to secure future supply and manufacturing capacity.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chain will be positioned for deployment, with manufacturing risks mitigated through qualification testing of key components in advance of both First-of-a-Kind (FOAK) and Nth-of-a-Kind (NOAK) installations. We will actively secure long-lead materials and have established long-term agreements with critical supply chain partners to ensure operational continuity.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5 employees, four executive directors providing services to us (of whom three entered into a written directorship agreement), as well as contractors engaged on a full time basis depending on the needs.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main corporate website address is https://terrainnovatum.com/. Copies of our filings with the SEC, including our annual report on Form 10-K, quarterly reports on Form 10-Q, current reports on Form 8-K, and amendments to reports filed pursuant to Sections 13(a) and 15(d) of the Securities Act, are available free of charge on our website within the “Investors” section as soon as reasonably practicable after having been electronically filed or furnished to the SEC. All SEC filings are also available on the SEC’s website at www.sec.gov. The information contained on these websites as referenced is not incorporated by reference into this filing. Further, the Company’s references to website URLs are intended to be inactive textual references only.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we announce material financial information to our investors using our investor relations website, SEC filings, press releases, public conference calls, and webcasts. We use these channels, including our website, to communicate with our investors and the public about our company, our products and solutions and other issues. It is possible that the information we post on our website could be deemed to be material information. Therefore, we encourage investors, the media and others interested in our company to review the information we make available on our website.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Terra Innovatum’s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a holding company with no direct operations that relies on dividends, distributions, loans and other payments, advances and transfers of funds from our operating Subsidiary, Terra Innovatum s.r.l., an Italian limited liability company (Italian Società a responsabilità limitata) (“</w:t>
      </w:r>
      <w:r>
        <w:rPr>
          <w:rFonts w:ascii="Times New Roman;Times;Serif" w:hAnsi="Times New Roman;Times;Serif"/>
          <w:b/>
          <w:i/>
          <w:caps w:val="false"/>
          <w:smallCaps w:val="false"/>
          <w:sz w:val="20"/>
        </w:rPr>
        <w:t>Terra OpCo”</w:t>
      </w:r>
      <w:r>
        <w:rPr>
          <w:rFonts w:ascii="Times New Roman;Times;Serif" w:hAnsi="Times New Roman;Times;Serif"/>
          <w:b w:val="false"/>
          <w:i/>
          <w:caps w:val="false"/>
          <w:smallCaps w:val="false"/>
          <w:sz w:val="20"/>
        </w:rPr>
        <w:t>), to pay dividends, pay expenses and meet our other obligations. Accordingly, our securityholders are subject to all of the risks of Terra OpCo’s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“Terra Innovatum,” “we,” “us” or “our” refers to Terra Innovatum Global N.V. and our consolidated subsidiaries, including Terra 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have not generated any revenue since our inception. We anticipate that we will continue to incur losses, and expect that we will not generate revenue, for the foreseeable future.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and have an accumulated deficit of approximately $607.3 million as of December 31, 2025 and negative operating cash flow in 2025 and 2024. We expect that operating losses and negative cash flows will increase in the coming years because of additional costs and expenses related to our research and development (which we refer to herein as “</w:t>
      </w:r>
      <w:r>
        <w:rPr>
          <w:rFonts w:ascii="Times New Roman;Times;Serif" w:hAnsi="Times New Roman;Times;Serif"/>
          <w:b/>
          <w:i w:val="false"/>
          <w:caps w:val="false"/>
          <w:smallCaps w:val="false"/>
          <w:sz w:val="20"/>
        </w:rPr>
        <w:t>R&amp;D”</w:t>
      </w:r>
      <w:r>
        <w:rPr>
          <w:rFonts w:ascii="Times New Roman;Times;Serif" w:hAnsi="Times New Roman;Times;Serif"/>
          <w:b w:val="false"/>
          <w:i w:val="false"/>
          <w:caps w:val="false"/>
          <w:smallCaps w:val="false"/>
          <w:sz w:val="20"/>
        </w:rPr>
        <w:t>), business development activities and our status as a publicly traded company.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shareholders’ equity (deficit) and working capital and may lead to the failure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makes it difficult to evaluate our future prospects and the risks and challenges we may encounter.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in this annual report.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or the expectations of investors or analysts, causing our business to suffer and our ordinary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yet commercialized or sold the SOLO or any other micro-modular reactor (“MMR”), and there is no guarantee that we will be able to do so.</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develop and obtain regulatory approval, the planned initial deployment of the SOLO is subject to Terra Innovatum reaching binding agreements for its scope of supply with potential customers. If no customer enters into such binding agreements with us, our initial deployment of the SOLO and ongoing services associated with such deployment could be significantly delayed. This could have a material adverse effect on our business and financial condition. To date, the various memoranda of understanding that we have entered into with potential purchasers are non-binding and largely contingent upon successful site characterization studies — including for the First-Of-A-Kind site, governing body approvals and regulatory approvals, and may not result in binding agreements for the purchase of our products or services. The potential purchasers may also elect to terminate or pursue other alternative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and our business, results of operations, and financial condition could be harmed.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w:t>
      </w:r>
    </w:p>
    <w:p>
      <w:pPr>
        <w:pStyle w:val="TextBody"/>
        <w:bidi w:val="0"/>
        <w:spacing w:before="0" w:after="0"/>
        <w:ind w:left="960" w:right="0" w:hanging="48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sz w:val="20"/>
              </w:rPr>
            </w:pPr>
            <w:r>
              <w:rPr>
                <w:sz w:val="20"/>
              </w:rPr>
              <w:t>hiring and training new personnel;</w:t>
            </w:r>
          </w:p>
        </w:tc>
      </w:tr>
    </w:tbl>
    <w:p>
      <w:pPr>
        <w:pStyle w:val="TextBody"/>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sz w:val="20"/>
              </w:rPr>
            </w:pPr>
            <w:r>
              <w:rPr>
                <w:sz w:val="20"/>
              </w:rPr>
              <w:t>completing the designs, licensing, construction, and commissioning of SOLO;</w:t>
            </w:r>
          </w:p>
        </w:tc>
      </w:tr>
    </w:tbl>
    <w:p>
      <w:pPr>
        <w:pStyle w:val="TextBody"/>
        <w:bidi w:val="0"/>
        <w:spacing w:before="0" w:after="0"/>
        <w:ind w:left="960" w:right="0" w:hanging="48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sz w:val="20"/>
              </w:rPr>
            </w:pPr>
            <w:r>
              <w:rPr>
                <w:sz w:val="20"/>
              </w:rPr>
              <w:t>finalizing our reactor design and developing new technologies and services (</w:t>
            </w:r>
            <w:r>
              <w:rPr>
                <w:i/>
                <w:sz w:val="20"/>
              </w:rPr>
              <w:t>e.g.</w:t>
            </w:r>
            <w:r>
              <w:rPr>
                <w:sz w:val="20"/>
              </w:rPr>
              <w:t>, training, maintenance, procurement);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optimizing applications of our reactors to serve both traditional utility and electric power customers and a broad base of non-traditional industrial customers interested in utilizing the efficient high-temperature heat produced by our design;</w:t>
            </w:r>
          </w:p>
        </w:tc>
      </w:tr>
    </w:tbl>
    <w:p>
      <w:pPr>
        <w:pStyle w:val="TextBody"/>
        <w:bidi w:val="0"/>
        <w:spacing w:before="0" w:after="0"/>
        <w:ind w:left="960" w:right="0" w:hanging="48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sz w:val="20"/>
              </w:rPr>
            </w:pPr>
            <w:r>
              <w:rPr>
                <w:sz w:val="20"/>
              </w:rPr>
              <w:t>controlling expenses and investments in anticipation of expanded operations and rising costs;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upgrading the existing operational management and financial reporting systems and team to comply with requirements as a public company; and</w:t>
            </w:r>
          </w:p>
        </w:tc>
      </w:tr>
    </w:tbl>
    <w:p>
      <w:pPr>
        <w:pStyle w:val="TextBody"/>
        <w:bidi w:val="0"/>
        <w:spacing w:before="0" w:after="0"/>
        <w:ind w:left="960" w:right="0" w:hanging="48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sz w:val="20"/>
              </w:rPr>
            </w:pPr>
            <w:r>
              <w:rPr>
                <w:sz w:val="20"/>
              </w:rPr>
              <w:t>implementing and enhancing administrative infrastructure, systems and processes.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such as graphite,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key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to a significant extent on the continued service of our key management, technical and other personnel. We are very thinly staffed and, as a result, the loss of one or more of our executive officers could adversely affect our business, financial condition and prospects. We do not maintain “key person” life insurance on any of our executives. If we are unable to retain our current officers or attract and retain additional qualified employees as needed, our ability to execute our business strategy and achieve our objectives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limited operating experience or regulatory precedent for reactors of this type, configuration and scale, which may result in greater than expected construction and material costs, maintenance requirements, operating expense or delivery timing.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MMR design will be actively managed through design reviews, prototyping, involvement of external partners and application of industry lessons. However, we could still fail to identify manufacturing, material and construction issues early enough to avoid negative effects on production, fabrication, construction or ultimate performance of our MMRs and related technologies, or we may encounter unexpected regulatory issues. Where these issues arise at such later stages of deployment, deployment could be subject to greater costs or be significantly delayed, which could materially and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operate deployed SOLO reactors in accordance with all applicable laws and regulations. For certain deployments, we may seek to engage one or more qualified operators with recognized experience in civil nuclear generation for the operation and maintenance of SOLO reactors. We may not be able to engage such operators on commercially agreeable terms, which could adversely affect our ability to deploy and commercialize SOLO reactors.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MMRs generating electric power and high-temperature heat is not yet established and may not achieve the growth potential we expect or may grow more slowly than expected.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MMRs, and particularly for MMRs utilizing advanced nuclear technologies such as those employed in the SOLO,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our MMRs, assumed prices and production and regulatory costs for our MMRs,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indicated by the illustrative unit economics provided in this annual report, our estimates of the annual total addressable market and serviceable addressable market for our services, as well as the expected growth rate for the total addressable market and serviceable addressable market for our services, may prove to be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attract customers to our MMR technology as quickly as we expect, or at all, and acquiring customers may be more expensive than we currently anticipate.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our reactors or MMR technology may have a material and adverse impact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cost estimates are highly sensitive to broader economic factors, and our ability to control or manage our costs may be limited.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costs for the deployment of a first-of-a-kind reactor such as the SOLO are difficult to project, inherently variable and are subject to significant change based on a variety of factors, including site-specific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SOLO may not be cost competitive with alternative technologies, which could materially and adversely affect our expected revenues, gross margins and on the other information included in the Unit Economics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from existing or new companies could cause us to experience downward pressure on prices, fewer customer orders, reduced margins, the inability to take advantage of new business opportunities, and the loss of market share.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United States.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changes could render our technology and products uncompetitive or obsolete, which could prevent us from achieving market share and sales.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refine or advance our MMR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availability and cost of electricity, natural gas and other forms of energy are subject to volatile market conditions that could adversely affect our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cost of electricity generated from nuclear sources may not be cost competitive with other electricity generation sources in some markets, which could materially and adversely affect our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 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Terra Innovatum may not be able to compete in these markets unless the benefits of the low-carbon, reliable and/or resilient energy generation provided by the SOLO is sufficiently valued. Even in markets that price reliable capacity on a long-term basis, there is no guarantee that our customers’ SOLO units will be sufficiently low-cost so as to clear auction-style capacity markets, and clearing in any one year is no guarantee of clearing in successive years. Moreover, our SOLO reactor will likely serve a specific market segment of smaller distributed generation, remote application or industrial customers, who may have lower-cost power/heat alternatives available to them, especially in the near-term.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lower electricity prices and higher availability of power in the United States when compared to many international markets, the risk may be greater with respect to business in the United States. Regardless of jurisdiction, however, failure of our MMRs to provide competitively priced electricity or heat could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customers operate in a politically sensitive environment, and the public perception of nuclear energy can affect our customers and 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execution of our business model is dependent upon public support for nuclear power in the United States and other countries. The risks associated with uses of radioactive materials by our customers in future deployments of our MMR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In the past, adverse public reaction, increased regulatory scrutiny and related litigation have contributed to extended licensing and construction periods for new nuclear reactors, sometimes delaying construction schedules by decades or more, or even shutting down operations at already-constructed reactors.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Accidents involving nuclear power facilities, including but not limited to events similar to any of the Three Mile Island, Chernobyl or Fukushima Daiichi nuclear accidents, or terrorist acts or other high profile events involving radioactive materials, could materially and adversely affect the public perception of the safety of nuclear energy, our customers and the markets in which we operate and potentially decrease demand for nuclear energy or facilities, increase regulatory requirements and costs or result in liabilities or claims that could materially and adversely affect our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nuclear accidents and fears of a new nuclear accident can hinder widespread acceptance of nuclear power. Nuclear power faces strong opposition from certain individuals and organizations both in the United States and abroad. With respect to public perceptions,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and a dampening of the favorable regulatory climate needed to introduce new nuclear technologies. As a result of the Fukushima accident, some countries that were considering launching new domestic nuclear power programs delayed or cancelled the preparatory activities they were planning to undertake as part of such programs. If a high-visibility or high-consequence nuclear accident,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the SOLO could suffer, which could materially and adversely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properties, and those of our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involve the use, transportation and disposal of toxic, hazardous and/or radioactive materials and could result in liability without regard to fault or negligence.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own any property,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decommissioning of third-party facilities.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nuclear liability law codified at 42 U.S.C. 2210 (along with subsequent amendments, the “</w:t>
      </w:r>
      <w:r>
        <w:rPr>
          <w:rFonts w:ascii="Times New Roman;Times;Serif" w:hAnsi="Times New Roman;Times;Serif"/>
          <w:b/>
          <w:i w:val="false"/>
          <w:caps w:val="false"/>
          <w:smallCaps w:val="false"/>
          <w:sz w:val="20"/>
        </w:rPr>
        <w:t>Price-Anderson Act”</w:t>
      </w:r>
      <w:r>
        <w:rPr>
          <w:rFonts w:ascii="Times New Roman;Times;Serif" w:hAnsi="Times New Roman;Times;Serif"/>
          <w:b w:val="false"/>
          <w:i w:val="false"/>
          <w:caps w:val="false"/>
          <w:smallCaps w:val="false"/>
          <w:sz w:val="20"/>
        </w:rPr>
        <w: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Unresolved spent nuclear fuel storage and disposal issues and associated costs could have a significant negative impact on Terra Innovatum’s business operations if potential SOLO customers view the risks associated with these issues and costs as unacceptably high.</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Waste Policy Act of 1982 requires the DOE to provide for the permanent disposal of spent nuclear fuel (“</w:t>
      </w:r>
      <w:r>
        <w:rPr>
          <w:rFonts w:ascii="Times New Roman;Times;Serif" w:hAnsi="Times New Roman;Times;Serif"/>
          <w:b/>
          <w:i w:val="false"/>
          <w:caps w:val="false"/>
          <w:smallCaps w:val="false"/>
          <w:sz w:val="20"/>
        </w:rPr>
        <w:t>SNF”</w:t>
      </w:r>
      <w:r>
        <w:rPr>
          <w:rFonts w:ascii="Times New Roman;Times;Serif" w:hAnsi="Times New Roman;Times;Serif"/>
          <w:b w:val="false"/>
          <w:i w:val="false"/>
          <w:caps w:val="false"/>
          <w:smallCaps w:val="false"/>
          <w:sz w:val="20"/>
        </w:rPr>
        <w:t>) and associated high-level nuclear waste (“</w:t>
      </w:r>
      <w:r>
        <w:rPr>
          <w:rFonts w:ascii="Times New Roman;Times;Serif" w:hAnsi="Times New Roman;Times;Serif"/>
          <w:b/>
          <w:i w:val="false"/>
          <w:caps w:val="false"/>
          <w:smallCaps w:val="false"/>
          <w:sz w:val="20"/>
        </w:rPr>
        <w:t>HLW”</w:t>
      </w:r>
      <w:r>
        <w:rPr>
          <w:rFonts w:ascii="Times New Roman;Times;Serif" w:hAnsi="Times New Roman;Times;Serif"/>
          <w:b w:val="false"/>
          <w:i w:val="false"/>
          <w:caps w:val="false"/>
          <w:smallCaps w:val="false"/>
          <w:sz w:val="20"/>
        </w:rPr>
        <w:t>).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Terra Innovatum’s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two consolidated interim storage (“</w:t>
      </w:r>
      <w:r>
        <w:rPr>
          <w:rFonts w:ascii="Times New Roman;Times;Serif" w:hAnsi="Times New Roman;Times;Serif"/>
          <w:b/>
          <w:i w:val="false"/>
          <w:caps w:val="false"/>
          <w:smallCaps w:val="false"/>
          <w:sz w:val="20"/>
        </w:rPr>
        <w:t>CIS”</w:t>
      </w:r>
      <w:r>
        <w:rPr>
          <w:rFonts w:ascii="Times New Roman;Times;Serif" w:hAnsi="Times New Roman;Times;Serif"/>
          <w:b w:val="false"/>
          <w:i w:val="false"/>
          <w:caps w:val="false"/>
          <w:smallCaps w:val="false"/>
          <w:sz w:val="20"/>
        </w:rPr>
        <w:t>) facilities under development in the United States for the interim storage of SNF/HLW. One facility has received an NRC license for construction and operation, and the other facility is in the final stages of its NRC licensing review. It is possible that SNF/HLW generated at a Terra Innovatum reactor could be stored at one of these CIS facilities; however, it is also possible that these CIS facilities are never built or become operational, or are unable to store such waste from a Terra Innovatum reactor, in which case, the waste would need to be stored onsite or at another interim SNF storage facility until another disposal option became available, such as a U.S. government determined permanent national repository or other government storage facility.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a national repository for the storage and/or permanent disposal of SNF, such as the one previously considered at Yucca Mountain, Nevada, the timing of such a facility’s opening and the ability of such a facility to accept waste from a Terra Innovatum reactor, and any related regulatory action, could impact the costs associated with our SOLO customers’ storage and/or disposal of SNF/HLW. Likewise, the establishment of a CIS for the storage of SNF/HLW, the timing of such a facility’s opening and being able to accept waste from a Terra Innovatum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Terra Innovatum’s operations if potential customers view waste disposal as problematic, detrimental or a negative factor when considering an investment in a Terra Innovatum reactor.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Unsatisfactory safety performance or security incidents at our facilities — or any nuclear facility around the world — could have a material adverse effect on our business, financial condition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and will manufacture highly sophisticated MMRs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 to customer property or medical complications could have a material adverse effect on our business, financial condition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If a safety incident occurs at any nuclear facility in the world, it could delay licensing and/or drive up costs to license or own our MMRs and negatively impact our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threats which could have adverse effects, including regulatory effects, on our business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upon information technology systems, infrastructure and data to operate our business. In the ordinary course of business, we collect, store, process and transmit confidential information (including but not limited to intellectual property, proprietary business information and personal data).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given their size and complexity and the increasing amounts of confidential information that they maintain, our internal information technology systems, operational technology systems, and industrial control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We are also subject to the SEC’s cybersecurity disclosure rules, which require us to describe our cybersecurity risk management, strategy, and governance, and to disclose material cybersecurity incidents. These obligations require us to maintain processes to assess the materiality of cybersecurity incidents on a timely basis, and any failure to timely or accurately make required disclosures could result in SEC enforcement action, investor litigation, or reputational harm. Our board of directors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which has oversight responsibility for cyber security risks, including through the audit committee, which annually reviews our cybersecurity risk profile. See “Item 1C. Cybersecurity” for further information regarding our cybersecurity risk management, strategy and governance. Any failure to maintain effective cybersecurity governance processes could increase our vulnerability to cybersecurity threats and adversely affect our ability to satisfy our regulatory disclosure obligations.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rely on third-party service providers for certain information technology functions, including cloud computing services. Any cybersecurity incident affecting our third-party service providers could adversely affect our operations or result in unauthorized access to our confidential information, even if our own systems are not directly compromised.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SOLO nuclear design technical engineering information and operations information, which have been and will continue to be used to design the SOLO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customers are or will be subject to specific cybersecurity requirements imposed by the NRC, which requires licensees to protect digital computer and communication systems and networks associated with safety, security, and emergency preparedness functions from cyber attacks. Compliance with these requirements may be costly and technically complex, and any failure to comply could result in regulatory enforcement action, delays in obtaining or maintaining NRC licenses, or restrictions on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supply base may not be able to scale to the production levels necessary to meet sales projections.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manufacturing assets and will rely on third-party manufacturers and construction firms to build SOLO, fuel fabrication facilities and associated equipment. While we are working to secure and manage sufficient third-party manufacturing capabilities and facilities, these capabilities and the facilities involve risks including timeline, cost, and financing risk and even if successfully developed, might not be available for our earliest SOLO deployments. Moreover, we are dependent on future supplier capability to meet production demands attendant to our forecasts. If our supply chain cannot meet the schedule demands of the market, our projected sales revenues could be materially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limited number of suppliers for certain materials and supplied components, some of which are highly specialized and are being designed for first-of-a-kind or sole use in the SOLO. We and our third-party vendors may not be able to obtain sufficient materials or supplied components to meet our manufacturing and operating needs, or obtain such materials on favorable terms or at expected costs.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directly manufacture any components of our MMRs. Our ability to manufacture our MMRs depends on the sufficient availability of raw materials and supplied components, including many highly technical components that are still under design, are being developed for first-of-a-kind or sole use in the SOLO and have not yet been qualified for use, or are produced only by a limited number of suppliers and may be particularly susceptible to cost increases, supply chain disruptions, or inflationary pressures.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materials, such as the graphite used for the moderator, are currently produced in limited quantities and are available predominantly from a small number of vendors inside and outside the United States (e.g., Italy, Germany, and Japan).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for such materials and components, which means we may not be able to obtain sufficient raw materials or supplied components to meet our manufacturing and operating needs, or obtain such materials on favorable terms or at expected costs. Our reliance on multi-layered international supply chains to secure raw materials and supplied components exposes us to volatility in the prices and availability of these materials and may make us susceptible to changes in geopolitical relationships that could impair our ability to fulfill orders in a timely manner or increase our production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tariffs and inflation, our international supply chain is also exposed to the risk that foreign governments may impose trade restrictions—including export bans, import licensing requirements, foreign direct investment screening, or local content mandates—that could affect the availability or cost of critical components. The imposition of tariffs and the impacts of inflation on raw materials or supplied components for our reactors could have a material adverse effect on our operations, and foreign government trade restrictions could further compound these effects.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Prolonged disruptions in the supply of any key raw materials or components, difficulties in qualifying new sources of supply or implementing the use of replacement materials, or any volatility in prices could have a material adverse effect on our ability to operate in a cost-efficient and timely manner. Such prolonged disruptions could also result in cancellations or delays of scheduled launches, customer cancellations, or reductions in prices and margins, any of which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key executives and management to execute our business plan and conduct our operations. A departure of key personnel could have a material adverse effect on our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significant part, on the continued services of our senior management team and on our ability to attract, motivate, develop and retain a sufficient number of other highly skilled personnel, including engineers, manufacturing and quality assurance, finance, marketing and sales personnel. Our senior management team has extensive experience in the energy and manufacturing industries,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requires us to attract and retain qualified personnel including personnel with highly technical expertise. Were we not to be able to successfully recruit and retain experienced and qualified personnel, it could have a material adverse effect on our business.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reactors and fuel, we may experience delays, increased costs and reputational harm. As a result, the licensing and approval process and the project development and ongoing nuclear regulatory oversight for our nuclear power plants may be delayed or be more costly.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United States and other jurisdictions, as well as commercial agreements such as confidentiality agreements, and license agreements to establish, maintain and enforce rights associated with our MMRs and related proprietary technologies. These measures are aimed at preventing third parties from using, practicing, selling, manufacturing, or otherwise commercially exploiting our MMRs and related technologies, which would erode our competitive position in our market. Our success depends in large part on our ability to obtain and enforce patent protection for our MMRs, as well as our ability to operate without infringing or violating the proprietary rights of others. We either own or have significant license rights to certain intellectual property applicable to our MMRs, including patent rights and pending patent applications on the same, and we will continue to file patent applications claiming new technologies directed to our MMRs in the United States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United States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the United States), we cannot guarantee that we will obtain a corresponding patent in another jurisdiction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Italy)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are issued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enjoy only limited geographical protection with respect to certain issued patents and may not be able to protect our intellectual property rights throughout the world.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worldwide patent rights for our MMRs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MMRs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fees and costs.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seeking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 (i) 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MMRs.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United States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United States or abroad that we consider relevant may be incorrect or inaccurate. Our failure to identify and correctly interpret relevant patents may negatively impact our ability to develop and market our MMRs.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circumstances under which a patent application may not be published and accessible to us or our licensors. For example, patent applications in the United States and many foreign jurisdictions are typically not published until 18 months after filing, but some patent applications in the United States may be maintained in secrecy until the patents are issued. Publications in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of ownership and other rights to our patents and other intellectual property by third parties.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limited experience in operating a public company.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have limited experience in the management of a publicly traded company and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disadvantage and could result in an increasing amount of their time being devoted to compliance activities which would result in less time being devoted to the management and growth of the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the Company to achieve the level of accounting standards required of a public company in the United States may require costs greater than expected. It is possible that we will be required to expand our employee base and hire additional employees to continue to support our operations as a public company which will increase our operating costs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are subject to data privacy and protection laws in multiple jurisdictions, including the GDPR, and any failure to comply with these laws could result in significant penalties and harm to our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collect, store, transmit and otherwise process confidential information (including personal data) of our employees, contractors and business contacts and we are subject to data privacy and protection laws and regulations with respect to same. These laws include the European Union’s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(and the applicable national GDPR implementation acts), which applies to our operations in Italy and the broader European Economic Area, as well as an evolving patchwork of U.S. federal and state privacy laws and other global privacy laws in the jurisdictions where we operate. The GDPR imposes stringent requirements on data controllers and processors, including requirements for lawful processing, restrictions on cross-border data transfers, requirements for data processing agreements, data subject rights, requirements for appropriate technical and organizational security measures, and mandatory data breach notification obligations. Penalties for non-compliance with the GDPR can be significant, including fines of up to 4% of global annual turnover or €20 million, whichever is greater. We process personal data relating to our employees, contractors, and business contacts, and as our operations expand, the volume and sensitivity of personal data we process is likely to increase. The regulatory landscape for privacy and data protection is rapidly evolving, with new laws and amendments being enacted in jurisdictions where we operate or intend to operate. Compliance with these diverse and sometimes conflicting requirements is complex and costly, and our failure to comply could result in regulatory enforcement actions (including fines), (civil) litigation (including class actions), reputational harm, and restrictions on our ability to process personal data, any of which could have a material adverse effect on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international operations may implicate data localization requirements, restrictions on cross-border data transfers (such as requirements for the EU standard contractual clauses or other approved transfer mechanisms), and other compliance obligations that could increase our operational complexity and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use of artificial intelligence technologies may present business, legal, and regulatory risks.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utilize artificial intelligence and machine learning technologies in our operations, including design optimization, predictive maintenance, and operational analytics. The regulatory landscape for AI is rapidly evolving, with the European Union’s AI Act and various U.S. federal and state initiatives introducing new compliance obligations for AI systems. Our use of AI in connection with nuclear operations may be subject to additional regulatory scrutiny by the NRC and other authorities. AI technologies may produce inaccurate, biased, or otherwise flawed outputs, which could result in operational inefficiencies, reputational harm, or liability. Our data center customers, who represent a significant portion of our target market, may be subject to AI-related regulations that could affect their operations and, indirectly, demand for our products. As AI regulation continues to evolve, compliance costs may increase, and we may be required to modify our use of AI technologies,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Terra Innovatum’s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fulfill our business plan, we will require substantial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ordinary shares, convertible securities or other equity securities in one or more transactions at prices and in a manner we determine from time to time. If we sell ordinary shares, convertible securities or other equity securities, investors may be materially diluted by subsequent sales. Such sales may also result in material dilution to our existing shareholders, and new investors could gain rights, preferences and privileges senior to the holders of our ordinary shares. Pursuant to our Equity Incentive Plan, which became effective upon the Closing, our board is authorized to grant compensatory equity awards to our employees, directors and consultants. If the number of shares reserved under our Equity Incentive Plan is increased pursuant to the terms of our Equity Incentive Plan, our shareholders may experience additional dilution, which could cause our share price to fall. Any of the above events could significantly harm our business, prospects, financial condition and results of operations and cause the price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expenditures, including our corporate level expenses, are subject to numerous risks and uncertainties.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a disproportionately higher impact from inflation and rising costs.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SOLO reactors,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incur indebtedness in the future, we could be exposed to risks that could adversely affect our business, financial condition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incur indebtedness which could have significant negative consequences for our security holders, business, results of operations and financial condition by, among other things:</w:t>
      </w:r>
    </w:p>
    <w:p>
      <w:pPr>
        <w:pStyle w:val="TextBody"/>
        <w:bidi w:val="0"/>
        <w:spacing w:before="0" w:after="0"/>
        <w:ind w:left="960" w:right="0" w:hanging="48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sz w:val="20"/>
              </w:rPr>
            </w:pPr>
            <w:r>
              <w:rPr>
                <w:sz w:val="20"/>
              </w:rPr>
              <w:t>increasing our vulnerability to adverse economic and industry conditions;</w:t>
            </w:r>
          </w:p>
        </w:tc>
      </w:tr>
    </w:tbl>
    <w:p>
      <w:pPr>
        <w:pStyle w:val="TextBody"/>
        <w:bidi w:val="0"/>
        <w:spacing w:before="0" w:after="0"/>
        <w:ind w:left="960" w:right="0" w:hanging="48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sz w:val="20"/>
              </w:rPr>
            </w:pPr>
            <w:r>
              <w:rPr>
                <w:sz w:val="20"/>
              </w:rPr>
              <w:t>limiting our ability to obtain additional financing;</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requiring the dedication of a substantial portion of our cash flow from operations to service our indebtedness, which will reduce the amount of cash available for other purposes;</w:t>
            </w:r>
          </w:p>
        </w:tc>
      </w:tr>
    </w:tbl>
    <w:p>
      <w:pPr>
        <w:pStyle w:val="TextBody"/>
        <w:bidi w:val="0"/>
        <w:spacing w:before="0" w:after="0"/>
        <w:ind w:left="960" w:right="0" w:hanging="48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sz w:val="20"/>
              </w:rPr>
            </w:pPr>
            <w:r>
              <w:rPr>
                <w:sz w:val="20"/>
              </w:rPr>
              <w:t>limiting our flexibility to plan for, or react to, changes in our business;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placing us at a possible competitive disadvantage with competitors that are less leveraged than us or have better access to capital.</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actual operating results may differ significantly from our guidance.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release guidance in our quarterly earnings releases, quarterly earnings conference calls, or expectations regarding our future performance that represent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ordinary shares.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successfully implement our operating strategy or the occurrence of any of the events or circumstances set forth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could result in our actual operating results being different from our guidance, and the differences may be adverse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may vary significantly from quarter to quarter.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when companies are newly acquired.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our financial results to fluctuate from quarter to quarter include those addressed elsewhere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and the following factors, among others:</w:t>
      </w:r>
    </w:p>
    <w:p>
      <w:pPr>
        <w:pStyle w:val="TextBody"/>
        <w:bidi w:val="0"/>
        <w:spacing w:before="0" w:after="0"/>
        <w:ind w:left="960" w:right="0" w:hanging="48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left"/>
              <w:rPr>
                <w:sz w:val="20"/>
              </w:rPr>
            </w:pPr>
            <w:r>
              <w:rPr>
                <w:sz w:val="20"/>
              </w:rPr>
              <w:t>the terms of customer contracts that affect the timing of revenue recognition;</w:t>
            </w:r>
          </w:p>
        </w:tc>
      </w:tr>
    </w:tbl>
    <w:p>
      <w:pPr>
        <w:pStyle w:val="TextBody"/>
        <w:bidi w:val="0"/>
        <w:spacing w:before="0" w:after="0"/>
        <w:ind w:left="960" w:right="0" w:hanging="48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sz w:val="20"/>
              </w:rPr>
            </w:pPr>
            <w:r>
              <w:rPr>
                <w:sz w:val="20"/>
              </w:rPr>
              <w:t>variability in demand for our services and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sz w:val="20"/>
              </w:rPr>
            </w:pPr>
            <w:r>
              <w:rPr>
                <w:sz w:val="20"/>
              </w:rPr>
              <w:t>commencement, completion or termination of contracts during any particular quarter;</w:t>
            </w:r>
          </w:p>
        </w:tc>
      </w:tr>
    </w:tbl>
    <w:p>
      <w:pPr>
        <w:pStyle w:val="TextBody"/>
        <w:bidi w:val="0"/>
        <w:spacing w:before="0" w:after="0"/>
        <w:ind w:left="960" w:right="0" w:hanging="48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sz w:val="20"/>
              </w:rPr>
            </w:pPr>
            <w:r>
              <w:rPr>
                <w:sz w:val="20"/>
              </w:rPr>
              <w:t>timing of award or performance incentive fee notices;</w:t>
            </w:r>
          </w:p>
        </w:tc>
      </w:tr>
    </w:tbl>
    <w:p>
      <w:pPr>
        <w:pStyle w:val="TextBody"/>
        <w:bidi w:val="0"/>
        <w:spacing w:before="0" w:after="0"/>
        <w:ind w:left="960" w:right="0" w:hanging="48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left"/>
              <w:rPr>
                <w:sz w:val="20"/>
              </w:rPr>
            </w:pPr>
            <w:r>
              <w:rPr>
                <w:sz w:val="20"/>
              </w:rPr>
              <w:t>timing of significant bid and proposal costs;</w:t>
            </w:r>
          </w:p>
        </w:tc>
      </w:tr>
    </w:tbl>
    <w:p>
      <w:pPr>
        <w:pStyle w:val="TextBody"/>
        <w:bidi w:val="0"/>
        <w:spacing w:before="0" w:after="0"/>
        <w:ind w:left="960" w:right="0" w:hanging="48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sz w:val="20"/>
              </w:rPr>
            </w:pPr>
            <w:r>
              <w:rPr>
                <w:sz w:val="20"/>
              </w:rPr>
              <w:t>the costs of remediating unknown defects, errors or performance problems of our product offerings;</w:t>
            </w:r>
          </w:p>
        </w:tc>
      </w:tr>
    </w:tbl>
    <w:p>
      <w:pPr>
        <w:pStyle w:val="TextBody"/>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sz w:val="20"/>
              </w:rPr>
            </w:pPr>
            <w:r>
              <w:rPr>
                <w:sz w:val="20"/>
              </w:rPr>
              <w:t>restrictions on and delays related to the export of nuclear articles and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sz w:val="20"/>
              </w:rPr>
            </w:pPr>
            <w:r>
              <w:rPr>
                <w:sz w:val="20"/>
              </w:rPr>
              <w:t>costs related to government inquiries;</w:t>
            </w:r>
          </w:p>
        </w:tc>
      </w:tr>
    </w:tbl>
    <w:p>
      <w:pPr>
        <w:pStyle w:val="TextBody"/>
        <w:bidi w:val="0"/>
        <w:spacing w:before="0" w:after="0"/>
        <w:ind w:left="960" w:right="0" w:hanging="48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sz w:val="20"/>
              </w:rPr>
            </w:pPr>
            <w:r>
              <w:rPr>
                <w:sz w:val="20"/>
              </w:rPr>
              <w:t>strategic decisions by us or our competitors, such as acquisitions, divestitures, spin-offs and joint ventures;</w:t>
            </w:r>
          </w:p>
        </w:tc>
      </w:tr>
    </w:tbl>
    <w:p>
      <w:pPr>
        <w:pStyle w:val="TextBody"/>
        <w:bidi w:val="0"/>
        <w:spacing w:before="0" w:after="0"/>
        <w:ind w:left="960" w:right="0" w:hanging="48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sz w:val="20"/>
              </w:rPr>
            </w:pPr>
            <w:r>
              <w:rPr>
                <w:sz w:val="20"/>
              </w:rPr>
              <w:t>strategic investments or changes in business strategy;</w:t>
            </w:r>
          </w:p>
        </w:tc>
      </w:tr>
    </w:tbl>
    <w:p>
      <w:pPr>
        <w:pStyle w:val="TextBody"/>
        <w:bidi w:val="0"/>
        <w:spacing w:before="0" w:after="0"/>
        <w:ind w:left="960" w:right="0" w:hanging="48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sz w:val="20"/>
              </w:rPr>
            </w:pPr>
            <w:r>
              <w:rPr>
                <w:sz w:val="20"/>
              </w:rPr>
              <w:t>changes in the extent to which we use subcontractors;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960" w:right="0" w:hanging="48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sz w:val="20"/>
              </w:rPr>
            </w:pPr>
            <w:r>
              <w:rPr>
                <w:sz w:val="20"/>
              </w:rPr>
              <w:t>fluctuations in our staff utilization rates;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changes in our effective tax rate, including changes in our judgment as to the necessity of the valuation allowance recorded against our deferred tax assets; and</w:t>
            </w:r>
          </w:p>
        </w:tc>
      </w:tr>
    </w:tbl>
    <w:p>
      <w:pPr>
        <w:pStyle w:val="TextBody"/>
        <w:bidi w:val="0"/>
        <w:spacing w:before="0" w:after="0"/>
        <w:ind w:left="960" w:right="0" w:hanging="48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left"/>
              <w:rPr>
                <w:sz w:val="20"/>
              </w:rPr>
            </w:pPr>
            <w:r>
              <w:rPr>
                <w:sz w:val="20"/>
              </w:rPr>
              <w:t>the length of sales cycles.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fluctuations in our operating results for a particular quarter could cause us to fall out of compliance with the financial covenants related to any potential future indebtedness, which if not waived, could restrict our access to capital and cause us to take extreme measures to pay down the debt, if any.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significant fluctuations in our operating results and rate of growth and fail to meet revenue and earnings expectations, our share price may fall rapidly and without advance notice.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and operating results may also fluctuate due to other factors,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our ability to design, develop, manufacture and sale smaller, cheaper, and safer advanced clean energy solutions, including nuclear reactors.</w:t>
            </w:r>
          </w:p>
        </w:tc>
      </w:tr>
    </w:tbl>
    <w:p>
      <w:pPr>
        <w:pStyle w:val="TextBody"/>
        <w:bidi w:val="0"/>
        <w:spacing w:before="0" w:after="0"/>
        <w:ind w:left="960" w:right="0" w:hanging="48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sz w:val="20"/>
              </w:rPr>
            </w:pPr>
            <w:r>
              <w:rPr>
                <w:sz w:val="20"/>
              </w:rPr>
              <w:t>assumptions relating to the size of the market for our nuclear reactors.</w:t>
            </w:r>
          </w:p>
        </w:tc>
      </w:tr>
    </w:tbl>
    <w:p>
      <w:pPr>
        <w:pStyle w:val="TextBody"/>
        <w:bidi w:val="0"/>
        <w:spacing w:before="0" w:after="0"/>
        <w:ind w:left="960" w:right="0" w:hanging="48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sz w:val="20"/>
              </w:rPr>
            </w:pPr>
            <w:r>
              <w:rPr>
                <w:sz w:val="20"/>
              </w:rPr>
              <w:t>unanticipated regulations of nuclear energy that add barriers to our business and have a negative effect on our operations.</w:t>
            </w:r>
          </w:p>
        </w:tc>
      </w:tr>
    </w:tbl>
    <w:p>
      <w:pPr>
        <w:pStyle w:val="TextBody"/>
        <w:bidi w:val="0"/>
        <w:spacing w:before="0" w:after="0"/>
        <w:ind w:left="960" w:right="0" w:hanging="48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left"/>
              <w:rPr>
                <w:sz w:val="20"/>
              </w:rPr>
            </w:pPr>
            <w:r>
              <w:rPr>
                <w:sz w:val="20"/>
              </w:rPr>
              <w:t>our estimates of expenses, future revenue, capital requirements and our needs for, or ability to obtain, additional financing.</w:t>
            </w:r>
          </w:p>
        </w:tc>
      </w:tr>
    </w:tbl>
    <w:p>
      <w:pPr>
        <w:pStyle w:val="TextBody"/>
        <w:bidi w:val="0"/>
        <w:spacing w:before="0" w:after="0"/>
        <w:ind w:left="960" w:right="0" w:hanging="48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left"/>
              <w:rPr>
                <w:sz w:val="20"/>
              </w:rPr>
            </w:pPr>
            <w:r>
              <w:rPr>
                <w:sz w:val="20"/>
              </w:rPr>
              <w:t>new product and service introductions by our competitors.</w:t>
            </w:r>
          </w:p>
        </w:tc>
      </w:tr>
    </w:tbl>
    <w:p>
      <w:pPr>
        <w:pStyle w:val="TextBody"/>
        <w:bidi w:val="0"/>
        <w:spacing w:before="0" w:after="0"/>
        <w:ind w:left="960" w:right="0" w:hanging="48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sz w:val="20"/>
              </w:rPr>
            </w:pPr>
            <w:r>
              <w:rPr>
                <w:sz w:val="20"/>
              </w:rPr>
              <w:t>technical difficulties or interruptions in our service.</w:t>
            </w:r>
          </w:p>
        </w:tc>
      </w:tr>
    </w:tbl>
    <w:p>
      <w:pPr>
        <w:pStyle w:val="TextBody"/>
        <w:bidi w:val="0"/>
        <w:spacing w:before="0" w:after="0"/>
        <w:ind w:left="960" w:right="0" w:hanging="48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sz w:val="20"/>
              </w:rPr>
            </w:pPr>
            <w:r>
              <w:rPr>
                <w:sz w:val="20"/>
              </w:rPr>
              <w:t>general economic conditions in our geographic markets.</w:t>
            </w:r>
          </w:p>
        </w:tc>
      </w:tr>
    </w:tbl>
    <w:p>
      <w:pPr>
        <w:pStyle w:val="TextBody"/>
        <w:bidi w:val="0"/>
        <w:spacing w:before="0" w:after="0"/>
        <w:ind w:left="960" w:right="0" w:hanging="48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sz w:val="20"/>
              </w:rPr>
            </w:pPr>
            <w:r>
              <w:rPr>
                <w:sz w:val="20"/>
              </w:rPr>
              <w:t>additional investment in our service or operations.</w:t>
            </w:r>
          </w:p>
        </w:tc>
      </w:tr>
    </w:tbl>
    <w:p>
      <w:pPr>
        <w:pStyle w:val="TextBody"/>
        <w:bidi w:val="0"/>
        <w:spacing w:before="0" w:after="0"/>
        <w:ind w:left="960" w:right="0" w:hanging="48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sz w:val="20"/>
              </w:rPr>
            </w:pPr>
            <w:r>
              <w:rPr>
                <w:sz w:val="20"/>
              </w:rPr>
              <w:t>regulatory compliance costs.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and other factors, we expect that our operating results may fluctuate significantly on a quarterly basis. We believe that period-to period comparisons of our operating results may not be meaningful, and you should not rely upon them as an indication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accounting estimates and assumptions could negatively affect our financial position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pay dividends may be limited and the level of future dividends is subject to change.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dividends for the foreseeable future. Payment of dividends on our shares in the future will be subject to business conditions, financial conditions, earnings, cash balances, commitments, strategic plans and other factors that the Board of Directors may deem relevant at the time it recommends approval of the dividend. Any dividend policy, once adopted, will be subject to change based on changes in statutory requirements, market trends, strategic developments, capital requirements and a number of other factors. In addition, under the Articles of Association and Dutch law, dividends may be declared on the Ordinary Shares only if the amount of equity exceeds the paid up and called up capital plus the reserves that have to be maintained pursuant to Dutch law or the Articles of Association. Further, even if we are permitted under the Articles of Association and Dutch law to pay cash dividends on our shares, we may not have sufficient cash to pay dividends in cash on our shares. We will be a holding company and our operations will be carried out through our subsidiaries. As a result, our ability to pay dividends will primarily depend on the ability of our subsidiaries to generate earnings and to provide us with the necessary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U.S. judgments against 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limited liability company under the laws of the Netherlands, and a substantial portion of our assets are outside of the United States. Many of our directors and senior management are resident outside the United States, and all or a substantial portion of our respective assets may be located outside the United States. As a result, it may be difficult for U.S. investors to effect service of process within the United States upon these persons. It may also be difficult for U.S. investors to enforce within the United States judgments predicated upon the civil liability provisions of the securities laws of the United States or any state thereof. In addition, there is uncertainty as to whether the courts outside the United States would recognize or enforce judgments of U.S. courts obtained against us or our directors and officers predicated upon the civil liability provisions of the securities laws of the United States or any state thereof. Therefore, it may be difficult to enforce U.S. judgments against us, our directors and officers and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Foreign Currency Exchange Rates and Withholding Taxes May Adversely Affect Our Results of Operations and Cash Flows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annual report are presented in U.S. dollars, while a substantial portion of Terra Innovatum Global S.r.l.’s revenues, expenses and capital expenditures are denominated in euros. Accordingly, we are exposed to fluctuations in the euro/U.S. dollar exchange rate, which may have a material adverse effect on our results of operations and cash flows. For example, a strengthening of the U.S. dollar against the euro would reduce the reported U.S. dollar value of our euro-denominated revenues and assets, while a weakening of the U.S. dollar would increase the U.S. dollar value of our euro-denominated expenses and liabilities. Although we may enter into hedging arrangements to partially mitigate foreign currency risk, such transactions may not fully offset adverse movements, may entail significant costs and may expose us to additional risks, including counterparty credit risk and accounting volatility.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Italian law, payments of dividends and interest by our Italian subsidiaries to U.S. or other non-Italian shareholders may be subject to withholding taxes at rates up to 26% unless reduced by an applicable tax treaty. Such withholding could reduce the net amount of cash available for distribution to our shareholders, adversely impact the attractiveness of our ordinary shares to certain investors and, in certain circumstances, require us to incur additional costs to secure treaty relief or obtain tax indemnities. Any changes in Italian or U.S. withholding tax rates, amendments to existing treaties or interpretations by tax authorities could further increase our tax burden and reduce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Compliance with Law, Government Regulation and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policies, priorities, regulations, mandates of multiple governmental entities and may be negatively or positively impacted by any change thereto.</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w:t>
      </w: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MMRs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MMRs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all of our facilities are subject to regulations regarding human health and safety, wastewater, stormwater, air emissions and storage of materials like petroleum. If we fail to comply with these laws and regulations, we could be subject to fines or penalties from local, state, and federal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global macro-economic and political conditions could materially adversely affect our results of operations and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global supply chain disruptions have increasingly affected both the availability and cost of raw materials, component manufacturing and deliveries. These disruptions may result in delays in equipment deliveries and cost escalations that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export and import control laws and regulations, and our failure to comply with these laws and regulations or to obtain necessary authorizations, could have a material adverse effect on our business, financial condition and results of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required, the inability to secure and maintain necessary export licenses or authorizations could negatively affect our ability to compete successfully or market our MMR technology for commercial applications. U.S. government agencies responsible for administering nuclear export control regulations have considerable discretion in interpreting and enforcing these regulations, as well as in approving, denying, or imposing specific conditions on authorizations to engage in controlled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obtain authorization to export our technology, hardware, code, or technical assistance, our market opportunities would be limited, providing a competitive advantage to international suppliers of MMRs. Similarly, if export authorization could not be secured, we might need to implement design changes to our MMRs to address domestic supply chain issues, which could increase costs or lead to delays in the delivery of new plants and subsequent MMRs.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export control laws and regulations could expose us to civil or criminal penalties, fines, investigations, more stringent compliance requirements, and loss of export privileges. In addition, changes to export control regulations or multilateral non-proliferation frameworks could further restrict our ability to export reactor components, technology, or technical data, materially and adversely affecting our international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tariffs and treaties affecting imports and exports may have a material adverse effect on our performance or business prospects.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recently been significant changes to international trade policies and tariffs affecting imports and exports in tariffs on raw materials or could negatively affect our performance, and the current trade policy environment is characterized by considerable uncertainty. The United States has implemented a range of new tariffs and increases to existing tariffs, affecting steel, aluminum, and other raw materials and manufactured goods that may be relevant to our supply chain and operations. In response to these actions, other countries have imposed, are considering imposing, and may in the future impose new or increased tariffs on certain exports from the United States, including retaliatory tariffs that could increase the cost of our reactor systems for international customers and thereby reduce demand for our products in foreign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significant uncertainty about the future relationship between the United States and other countries with respect to trade policies, taxes, government regulations, and tariffs, and we cannot predict whether, or to what extent, current tariffs will continue or trade policies will change in the future. Furthermore, the renegotiation, suspension, or termination of existing free trade agreements or bilateral investment treaties by the United States or by countries in which we plan to deploy our technology could adversely affect our international business strategy. Any significant increase in tariffs on raw materials or components supplied for our reactors, or the imposition of retaliatory tariffs by foreign countries on U.S.-origin nuclear technology or equipment, could negatively affect our performance and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Terrorist attacks, acts of war or natural disasters may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acts, acts of war or natural disasters may disrupt our operations, as well as the operations of the businesses in which we invest. Such acts, including the ongoing conflicts in the Middle East and Ukraine,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our performance or business prospects. Losses from terrorist attacks and natural disasters are generally uninsurable.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current U.S. political environment and the resulting uncertainties regarding actual and potential shifts in U.S. foreign investment, trade, taxation, economic, environmental and other policies, as well as the impact of geopolitical tension, such as a deterioration in the bilateral relationship between the U.S. and China or the ongoing conflicts in the Middle East and Ukraine,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ability to grow and could have a material negative impact on our operating results,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part of the nuclear power industry, which is highly regulated. Our MMR designs similarly differ from reactors currently in operation, including with respect to potential industrial uses. As a result, the regulatory licensing and approval process for our nuclear power plants may be delayed and made more costly.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nuclear power industry is highly regulated. All entities that operate nuclear power facilities, fabricate nuclear fuel, or transport special nuclear materials in the United States are subject to the jurisdiction of the NRC (except for those facilities and applications separately regulated by the DOE). Entities performing similar activities in other countries are subject to regulation by the NRC’s counterparts around the world.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MMR designs differ in certain respects from the reactors currently used at commercial nuclear power facilities. Because of these design differences, our reactor designs could result in more prolonged and extensive review by the NRC and its counterparts around the world. Our reactor development timeline depends on the relevant nuclear regulator’s acceptance and approval of technical information and documentation related to our reactor designs in the course of any design-specific licensing, certification, approval, or similar process, or in facility-specific licensing.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agencies responsible for administering nuclear export control regulations have considerable discretion in interpreting and enforcing these regulations, as well as in approving, denying, or imposing specific conditions on authorizations to engage in controlled activities. This regulatory discretion, combined with our unique MMR design, could result in more prolonged and extensive reviews by the NRC and its counterparts around the world, potentially causing delays in our reactor development program and commercialization efforts. Regulators may also require additional information regarding reactor behavior or performance, necessitating unplanned analytical or experimental work that could cause further schedule delays and require additional research and development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These key materials and components may also be particularly vulnerable to inflationary pressures and cost increases.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equipment, components, and materials used in a nuclear power plant are subject to a heightened level of manufacturing and quality assurance scrutiny, in compliance with NRC regulations, applicable codes and nuclear industry standards. Moreover, it is critical to demonstrate in facility design and development that the materials used in the facility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construct and assist customers in operating a Terra Innovatum reactor design. This could impact our project timelines and costs, as well as affect potential customer interest in our reactors.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has the ability to intervene in licensing proceedings before the NRC for a reactor.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 for a mandatory administrative hearing regardless of whether any contentions are submitted in conjunction with the action. These hearing processes may delay or prevent the issuance of required regulatory approvals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permits or licenses) for a customer’s MMR.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SOLO designs have not yet been approved or licensed for use at any site by the NRC, and approval or licensing of these designs is not guaranteed.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submitted its regulatory engagement plan to the NRC in January 2025. Notwithstanding these actions, the SOLO designs have not yet been licensed or approved by the NRC, and no currently operating NRC-regulated reactor uses technology we use in SOLO.</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caps w:val="false"/>
          <w:smallCaps w:val="false"/>
          <w:sz w:val="20"/>
        </w:rPr>
        <w:t>Even if the SOLO is licensed in the United States, we must still obtain approvals on a country-by-country basis to deploy these reactor technologies, which approvals may be delayed or denied or which may require modification to our design.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SOLO is licensed or approved in the United States, deploying our technology in other countries would require obtaining regulatory approvals in those jurisdictions. The regulatory framework for securing such approvals is complex, varies from country to country, and may involve authorities at national, sub-national, or local levels. Timelines are likely to be longer for initial deployments of our technology in any jurisdiction, as regulatory agencies may not be familiar with our technology or its differences from the legacy reactor designs used in existing nuclear power facilities. Moreover, other countries’ approval processes may differ significantly from the NRC’s process, or they may require modifications to certain aspects of our design as a condition of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countries impose local content requirements or preferential procurement mandates on large infrastructure projects, including nuclear facilities. These requirements could increase our costs, necessitate the qualification of local suppliers who may not meet our quality standards, or limit our ability to use our preferred international supply chain. As a result, local content obligations could materially and adversely affect our financial performance in those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Denial or delay in obtaining approvals abroad, whether due to regulatory, trade-related, or local content considerations, could materially and adversely affect our business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could incur substantial costs as a result of violations of, or liabilities under, environmental laws.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and properties of our customers are subject to a variety of federal, state, local and foreign environmental, health and safety laws and regulations governing, among other things, air emissions, wastewater discharges, management and disposal of hazardous, non-hazardous and radioactive materials and waste and remediation of releases of hazardous materials. Although Terra Innovatum’s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MMRs may not qualify as low-emissions or emissions-free pursuant to regulatory or incentive frameworks that consider emissions on a lifecycle basis or that otherwise account for fuel-cycle emissions or energy consumption.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litigation that may materially adversely affect 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and if our remediation of such material weaknesses is not effective, or if we fail to develop and maintain an effective system of disclosure controls and internal controls over financial reporting, our ability to produce timely and accurate financial statements or comply with applicable laws and regulations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Dutch Law and the Exchange Act, the Sarbanes-Oxley Act, and the rules and regulations of the applicable listing standards of the Nasdaq Global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Section 9A, below, we identified material weaknesses in our internal controls over financial reporting. A material weakness is a deficiency, or combination of deficiencies, in internal controls over financial reporting, such that there is a reasonable possibility that a material misstatement of the annual or interim financial statements will not be prevented or detected on a timely basis. Our material weaknesses are related to (1) the lack of resources with adequate experience to execute internal controls over financial reporting at a level commensurate with public company requirements; (2) failure to complete a formal assessment of the impact of our de-SPAC transaction on our internal control environment; (3) failure to uplift our internal controls from a private-company operating environment to public company requirements; and (4) failure to implement a monitoring program to assess effectiveness of our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measures we have taken to date, and actions we may take in the future, will be sufficient to remediate the control deficiencies that led to a material weakness in our internal controls over financial reporting or that they will prevent or avoid potential future material weaknesses. Our current controls and any new controls we develop may become inadequate because of changes in conditions in our business. Further, additional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However, while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and particularly after we are no longer an “emerging growth company,” significant resources and management oversight will be required. As a result, management’s attention may be diverted from other business concerns, which could harm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Tax Matters Applicable to Terra Innovatum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tariff or fiscal policies could adversely affect demand for our products.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the above may have a material adverse effect on our business,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the risk factor relating to international trade policies and tariffs, the tariff and trade policy environment is rapidly evolving and may have direct and indirect effects on our cost structure and the demand for our MMRs. To the extent that tariff-related cost increases or trade policy uncertainty causes our potential customers to delay purchasing decisions, this could materially and adversely affect our revenues and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taxation or the interpretation or application of tax laws could have an adverse impact on our results of operations and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expected to be subject to various taxes in different jurisdictions (currently, mainly Italy), which include, among others, the Italian corporate income tax (“</w:t>
      </w:r>
      <w:r>
        <w:rPr>
          <w:rFonts w:ascii="Times New Roman;Times;Serif" w:hAnsi="Times New Roman;Times;Serif"/>
          <w:b/>
          <w:i w:val="false"/>
          <w:caps w:val="false"/>
          <w:smallCaps w:val="false"/>
          <w:sz w:val="20"/>
        </w:rPr>
        <w:t>IRES”</w:t>
      </w:r>
      <w:r>
        <w:rPr>
          <w:rFonts w:ascii="Times New Roman;Times;Serif" w:hAnsi="Times New Roman;Times;Serif"/>
          <w:b w:val="false"/>
          <w:i w:val="false"/>
          <w:caps w:val="false"/>
          <w:smallCaps w:val="false"/>
          <w:sz w:val="20"/>
        </w:rPr>
        <w:t>), regional trade tax (“</w:t>
      </w:r>
      <w:r>
        <w:rPr>
          <w:rFonts w:ascii="Times New Roman;Times;Serif" w:hAnsi="Times New Roman;Times;Serif"/>
          <w:b/>
          <w:i w:val="false"/>
          <w:caps w:val="false"/>
          <w:smallCaps w:val="false"/>
          <w:sz w:val="20"/>
        </w:rPr>
        <w:t>IRAP”</w:t>
      </w:r>
      <w:r>
        <w:rPr>
          <w:rFonts w:ascii="Times New Roman;Times;Serif" w:hAnsi="Times New Roman;Times;Serif"/>
          <w:b w:val="false"/>
          <w:i w:val="false"/>
          <w:caps w:val="false"/>
          <w:smallCaps w:val="false"/>
          <w:sz w:val="20"/>
        </w:rPr>
        <w:t>),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excise duty, registration tax and other indirect taxes.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overall tax burden may increase in the future.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or regulations, or in the position of the relevant Italian and non-Italian authorities regarding the application, administration or interpretation of these laws or regulations, particularly if applied retrospectively, could have a material adverse effect on our business, results of operations and financial condition.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be treated exclusively as a resident of the Republic of Italy for tax purposes, but Dutch or other tax authorities may seek to treat us as a tax resident of another jurisdiction as a result of which we could be subject to increased and/or different taxes.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being resident for fiscal purposes exclusively in the Republic of Italy. Indeed, we intend to maintain management and organizational structure in such a manner that (i) our place of effective management would be in Italy and we should be regarded as a tax resident of Italy for Italian domestic law purposes; (ii) we should be considered to be exclusively tax resident in Italy for purposes of the applicable tax treaties, including the Convention between the Kingdom of the Netherlands and the Republic of Italy for the avoidance of double taxation and the prevention of fiscal evasion with respect to taxes on income and on capital (the “</w:t>
      </w:r>
      <w:r>
        <w:rPr>
          <w:rFonts w:ascii="Times New Roman;Times;Serif" w:hAnsi="Times New Roman;Times;Serif"/>
          <w:b/>
          <w:i/>
          <w:caps w:val="false"/>
          <w:smallCaps w:val="false"/>
          <w:sz w:val="20"/>
        </w:rPr>
        <w:t>Italy-Netherlands Tax Treaty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(iii) we should not be regarded as a tax resident of any jurisdiction other than Italy, either for purposes of the domestic tax laws of such jurisdiction or for the purposes of any applicable tax treaty.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determination of our tax residency depends primarily upon our place of effective management, which is largely a question of fact, based on all relevant circumstances.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no assurance can be given regarding the final determination of our tax residency by tax authorities. In addition, changes to applicable laws and income tax treaties or interpretations thereof and changes to applicable facts and circumstances (e.g., a change of board members or the place where board meetings take place), may have a bearing on the determination of our tax residency and the consequent tax treatment.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competent tax authorities of a jurisdiction other than Italy, including the Netherlands, take the position that we should be treated as (exclusively) tax resident of that jurisdiction for purposes of an applicable tax treaty, we would be subject to corporation tax and all distributions made by us to our shareholders would be subject to any applicable dividend withholding tax in such other jurisdiction(s) as well as in Italy.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resolve any dual tax residency issue, we may have access to a mutual agreement procedure and/or dispute resolution mechanisms under an applicable tax treaty and the dispute resolution mechanism under the EU Arbitration Directive (if it is an EU jurisdiction), or we could submit our case for judicial review by the relevant courts.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procedures would require substantial time, costs and efforts, and it is not certain that double taxation issues can be resolved in all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Terra Shares and Terra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only significant asset is our ownership interest in Terra OpCo, and such ownership may not be sufficient to satisfy our financial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direct operations and no significant assets other than our ownership of Terra OpCo. We depend on Terra OpCo for distributions, loans and other payments to generate the funds necessary to meet our financial obligations, including our expenses as a publicly traded company and to pay any dividends with respect to Terra Shares. The financial condition and operating requirements of Terra OpCo may limit our ability to obtain cash from Terra OpCo. The earnings from, or other available assets of, Terra OpCo may not be sufficient to pay dividends or make distributions or loans to enable us to pay any dividends on Terra Ordinary Shares or satisfy our other financial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lack of diversification may subject us to numerous economic, competitive and regulatory risks, any or all of which may have a substantial adverse impact upon the particular industry in which we may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U.S. person is treated as owning at least 10% of the shares of Terra, such person may be subject to adverse U.S. federal income tax consequences.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is treated as owning (directly, indirectly or constructively) at least 10% of the value or voting power of the stock of Terra, such holder may be treated as a “United States shareholder” with respect to each of Terra and its direct and indirect subsidiaries (the “</w:t>
      </w:r>
      <w:r>
        <w:rPr>
          <w:rFonts w:ascii="Times New Roman;Times;Serif" w:hAnsi="Times New Roman;Times;Serif"/>
          <w:b/>
          <w:i w:val="false"/>
          <w:caps w:val="false"/>
          <w:smallCaps w:val="false"/>
          <w:sz w:val="20"/>
        </w:rPr>
        <w:t>Terra Group”</w:t>
      </w:r>
      <w:r>
        <w:rPr>
          <w:rFonts w:ascii="Times New Roman;Times;Serif" w:hAnsi="Times New Roman;Times;Serif"/>
          <w:b w:val="false"/>
          <w:i w:val="false"/>
          <w:caps w:val="false"/>
          <w:smallCaps w:val="false"/>
          <w:sz w:val="20"/>
        </w:rPr>
        <w:t>) that is a “controlled foreign corporation,” (a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for U.S. federal income tax purposes. 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United States shareholders on any day during the taxable year of such non-U.S. corporation. For our taxable years ending on or before December 31, 2025, and any taxable years of U.S. shareholders including that year, if the Terra Group includes one or more U.S. subsidiaries, certain of Terra’s non-U.S. subsidiaries could be treated as CFCs regardless of whether Terra otherwise is treated as a CFC. Immediately following the consummation of the Business Combination, the Terra Group included a U.S. subsidiary, so that Terra’s non-U.S. subsidiaries likely were considered CFCs for their taxable years ending on or before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Terra or any of its non-U.S. subsidiaries is a CFC, 10% “United States shareholders” will be subject to adverse income inclusion and reporting requirements with respect to such CFC. No assurance can be provided that Terra will assist holders in determining whether it or any of its non-U.S. subsidiaries is treated as a CFC or whether any holder is treated as a United States shareholder with respect to any of such CFCs or furnish to any holder information that may be necessary to comply with reporting and tax payment obligations with respect to such CFCs.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PFIC status of Terra could result in adverse U.S. federal income tax consequences to U.S.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rents and royalties (other than rents or royalties derived from the active conduct of a trade or business) and gains from the disposition of passive assets. Cash and cash equivalents generally are passive assets.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GSR III believed that it was likely a PFIC due to GSR III being a blank check company with no active business (as determined for purposes of the PFIC rules). Following the Business Combination our annual PFIC income and asset tests applied based on the assets and activities of the combined business. Based on the composition of our gross income for the year ending December 31, 2025, we believe that we were a PFIC for the year ending December 31, 2025 and it is likely that we will be a PFIC for our 2026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characterized as a PFIC, our U.S. holders may suffer adverse tax consequences, including having gains realized on the sale of our shares treated as ordinary income, rather than as capital gain and the loss of the preferential rate applicable to dividends received on our shares by individuals who are U.S. holders, and having interest charges apply to distributions by us and the proceeds of sales of the shares. A U.S. shareholder of a PFIC generally may mitigate these adverse U.S. federal income tax consequences by making a “qualified electing fund,” or QEF, election, or, to a lesser extent, a “mark to market” election.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that we are a PFIC for any taxable year, we will use commercially reasonable efforts to, and currently expect to, provide the necessary information for U.S. holders to make a QEF election.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analysts do not publish research about Terra’s business or if they publish inaccurate or unfavorable research, our share price and trading volume could decline.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depends in part on the research and reports that analysts publish about its business. We do not have any control over these analysts. If one or more of the analysts who cover Terra downgrade our ordinary shares or publish inaccurate or unfavorable research about our business, the price of our ordinary shares would likely decline. If few analysts cover Terra, demand for our ordinary shares could decrease and its ordinary share price and trading volume may decline. Similar results may occur if one or more of these analysts stop covering Terra in the future or fail to publish reports on it regularly.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and, in the past, companies that have experienced volatility in the market price of their share have been subject to securities class action litigation.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the target of this type of litigation in the future. Securities litigation against us could result in substantial costs and divert management’s attention from other business concerns, which could seriously harm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Ordinary Shares may cause the market price of our securities to drop significantly, even if our business is doing well.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Agreement, subject to certain exceptions, the Sponsor and the Management Holders are contractually restricted from selling or transferring any of our ordinary shares. Such restrictions began at Closing and end on the following terms: (i) for the Lock-Up Shares held by the Management Holders (the “</w:t>
      </w:r>
      <w:r>
        <w:rPr>
          <w:rFonts w:ascii="Times New Roman;Times;Serif" w:hAnsi="Times New Roman;Times;Serif"/>
          <w:b/>
          <w:i w:val="false"/>
          <w:caps w:val="false"/>
          <w:smallCaps w:val="false"/>
          <w:sz w:val="20"/>
        </w:rPr>
        <w:t>Terra Lock-Up Shares”</w:t>
      </w:r>
      <w:r>
        <w:rPr>
          <w:rFonts w:ascii="Times New Roman;Times;Serif" w:hAnsi="Times New Roman;Times;Serif"/>
          <w:b w:val="false"/>
          <w:i w:val="false"/>
          <w:caps w:val="false"/>
          <w:smallCaps w:val="false"/>
          <w:sz w:val="20"/>
        </w:rPr>
        <w:t>) and (ii) for the Sponsor Lock-Up Shares, (a) 25% of the Terra Lock-Up Shares and Sponsor Lock-Up Shares shall be released upon the earlier of the Terra Trading Price being greater than $12.00 or Terra issuing its first quarterly earnings release that occurs at least 120 days after the Closing, (b) an additional 25% of the Terra Lock-Up Shares and Sponsor Lock-Up Shares shall be released upon the earlier of the Terra Trading Price being greater than $14.00 or Terra issuing its second quarterly earnings release that occurs at least 120 days after the Closing, (c) a further 25% of the Terra Lock-Up Shares and Sponsor Lock-Up Shares shall be released upon the earlier of the Terra Trading Price being greater than $16.00 or Terra issuing its third quarterly earnings release that occurs at least 120 days after the Closing and (d) all the remaining Terra Lock-Up Shares and Sponsor Lock-Up Shares shall be released upon the earlier of the Terra Trading Price being greater than $18.00 or Terra issuing its fourth quarterly earnings release that occurs at least 120 days after the Closing. As of the date of this annual report, 50% of the Terra Lock-Up Shares and Sponsor Lock-Up Shares have been released from these restrictions.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held by Sponsor and the Management Holders may be sold after the expiration of the applicable lock-up period under the Registration Rights Agreement and the Bylaws. As restrictions on resale end and the registration statement becomes available for use, the sale or possibility of sale of these shares could have the effect of increasing the volatility in our share price or the market price of our Ordinary Shares could decline if the holders of currently restricted shares sell them or are perceived by the market as intending to sell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obligations associated with being a public company involve significant expenses and require significant resources and management attention, which may divert from Terra’s business operations.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incur significant legal, accounting and other expenses that we as a private company, did not previously incur. Our entire management team and many of its other employees devotes substantial time to compliance and managing our transition into a public company.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have resulted in us incurring substantial legal and financial compliance costs and make some activities more time-consuming and costly. For example, these rules and regulations have made it more difficult and more expensive for us to obtain director and officer liability insurance, and in the future it may be required to accept reduced policy limits and coverage or incur substantially higher costs to obtain the same or similar coverage. As a result, it may be difficult for us to continue to attract and retain qualified people to serve on our Board of Directors, the committees of our Board of Directors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an emerging growth company and a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 “emerging growth company” within the meaning of the Securities Act, as modified by the JOBS Act, and we are taking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 lose our “emerging growth company” status, we will no longer be able to take advantage of certain exemptions from reporting, and we will also be required to comply with the auditor attestation requirements of Section 404 of the Sarbanes-Oxley Act. We will incur additional expenses in connection with such compliance and our management will need to devote additional time and effort to implement and comply with such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actively developing and implementing a comprehensive, company-wide cybersecurity program grounded in industry best practices. Our management team proactively evaluates our threat landscape, which includes risks from sophisticated cyber-attacks, ransomware, social engineering, and potential system failures resulting from human or technological error. Given the nature of our business in the nuclear energy sector, we are attentive to the cybersecurity threat landscape applicable to critical infrastructure and energy companies, and we design our cybersecurity program to address sector-specific risks. We maintain processes to oversee and identify cybersecurity risks associated with our use of third-party service providers, including through security assessments and contractual requirements. We periodically engage third-party consultants to assist with security assessments and program enhancements.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these risks, we employ a multi-layered defense strategy designed to protect the integrity of our data and operational technology. Key components of our cybersecurity program include: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b/>
              </w:rPr>
              <w:t>Threat Detection &amp; Prevention:</w:t>
            </w:r>
            <w:r>
              <w:rPr/>
              <w:t> Deployment of enterprise-grade antivirus and endpoint detection software to identify and neutralize unauthorized intrusions.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b/>
              </w:rPr>
              <w:t>Vulnerability Management:</w:t>
            </w:r>
            <w:r>
              <w:rPr/>
              <w:t> A patch management protocol to ensure all software and critical systems are updated against known vulnerabilities in a timely manner.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b/>
              </w:rPr>
              <w:t>Incident Response:</w:t>
            </w:r>
            <w:r>
              <w:rPr/>
              <w:t> While we maintain internal monitoring, we are developing protocols to engage third-party cybersecurity experts and legal counsel should a significant incident be detected, ensuring a rapid and comprehensive response.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Company is not aware of any cybersecurity incidents that have materially affected or are reasonably likely to materially affect our business strategy, results of operations, or financial condition. However, we cannot guarantee that we will not experience a material cybersecurity incident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cybersecurity risk is part of our general risk management framework, cybersecurity oversight is provided our Board of Directors through the Audit Committee. Management reports cybersecurity matters to the Audit Committee on a periodic basis. Day-to-day cybersecurity activities are led by the Chief Operating Officer in the US and the Chief Technology Officer for European activities. Management is responsible for implementing our cybersecurity policies, monitoring threats, and escalating significant matters to our Board of Directors or Audit Committee.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in Lucca, Italy. The offices are sub-leased. On April 1, 2025, the Company entered into a lease agreement with Nine Nuclear and Industrial Engineering S.R.L.,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The rent is €11,400 ($12,320 USD) per annum, €950 ($1,027 USD) per month plus €50 ($54 USD) monthly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10th of each month. The Lease Fee will be updated annually by 75% of the variation in the official consumer price indices for worker and employee families as determined by the Italian Statistics Day in the previous year and subsequently year by year, with the first update taking effect on April 1, 2026. The lease agreement is subject to VAT according to Italian tax regulations.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all our properties have been adequately maintained, are generally in good condition, and are suitable and adequate for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9" w:name="a_056"/>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began trading on Nasdaq Global Market under the symbol “NKLR” on October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Holders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approximately 68 holders of record of our ordinary shares.  In computing the number of holders of record of our ordinary shares, each broker-dealer and clearing corporation holding shares on behalf of its customers is counted as a single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dividends on our shares for the foreseeable future. Payment of dividends on our shares in the future will be subject to business conditions, financial conditions, earnings, cash balances, commitments, strategic plans and other factors that our Board of Directors may deem relevant at the time it recommends approval of the dividend. Any dividend policy, once adopted, will be subject to change based on changes in statutory requirements, market trends, strategic developments, capital requirements and a number of other factors. In addition, under our Articles of Association and Dutch law, dividends may be declared on the Terra Shares only if the amount of equity exceeds the paid up and called up capital plus the reserves that have to be maintained pursuant to Dutch law and/or our Articles of Association. Further, even if we are permitted under our Articles of Association and Dutch law to pay cash dividends on our shares, we may not have sufficient cash to pay dividends in cash on such shares. We will be a holding company and our operations will be carried out through our subsidiaries. As a result, our ability to pay dividends will primarily depend on the ability of our subsidiaries to generate earnings and to provide us with the necessary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12 “</w:t>
      </w:r>
      <w:r>
        <w:rPr>
          <w:rFonts w:ascii="Times New Roman;Times;Serif" w:hAnsi="Times New Roman;Times;Serif"/>
          <w:b w:val="false"/>
          <w:i/>
          <w:caps w:val="false"/>
          <w:smallCaps w:val="false"/>
          <w:sz w:val="20"/>
        </w:rPr>
        <w:t>Security Ownership of Certain Beneficial Owners and Management and Related Shareholder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September 23, 2025, GSR III entered into Subscription Agreements (the “</w:t>
      </w:r>
      <w:r>
        <w:rPr>
          <w:rFonts w:ascii="Times New Roman;Times;Serif" w:hAnsi="Times New Roman;Times;Serif"/>
          <w:b/>
          <w:i w:val="false"/>
          <w:caps w:val="false"/>
          <w:smallCaps w:val="false"/>
          <w:sz w:val="20"/>
        </w:rPr>
        <w:t>PIPE Subscription Agreement”</w:t>
      </w:r>
      <w:r>
        <w:rPr>
          <w:rFonts w:ascii="Times New Roman;Times;Serif" w:hAnsi="Times New Roman;Times;Serif"/>
          <w:b w:val="false"/>
          <w:i w:val="false"/>
          <w:caps w:val="false"/>
          <w:smallCaps w:val="false"/>
          <w:sz w:val="20"/>
        </w:rPr>
        <w:t>) with certain accredited investors (the “</w:t>
      </w:r>
      <w:r>
        <w:rPr>
          <w:rFonts w:ascii="Times New Roman;Times;Serif" w:hAnsi="Times New Roman;Times;Serif"/>
          <w:b/>
          <w:i w:val="false"/>
          <w:caps w:val="false"/>
          <w:smallCaps w:val="false"/>
          <w:sz w:val="20"/>
        </w:rPr>
        <w:t>Subscribers”</w:t>
      </w:r>
      <w:r>
        <w:rPr>
          <w:rFonts w:ascii="Times New Roman;Times;Serif" w:hAnsi="Times New Roman;Times;Serif"/>
          <w:b w:val="false"/>
          <w:i w:val="false"/>
          <w:caps w:val="false"/>
          <w:smallCaps w:val="false"/>
          <w:sz w:val="20"/>
        </w:rPr>
        <w:t>), pursuant to which GSR III agreed to issue and sell 3,184,000 of its ordinary shares (the “</w:t>
      </w:r>
      <w:r>
        <w:rPr>
          <w:rFonts w:ascii="Times New Roman;Times;Serif" w:hAnsi="Times New Roman;Times;Serif"/>
          <w:b/>
          <w:i w:val="false"/>
          <w:caps w:val="false"/>
          <w:smallCaps w:val="false"/>
          <w:sz w:val="20"/>
        </w:rPr>
        <w:t>PIPE Shares”</w:t>
      </w:r>
      <w:r>
        <w:rPr>
          <w:rFonts w:ascii="Times New Roman;Times;Serif" w:hAnsi="Times New Roman;Times;Serif"/>
          <w:b w:val="false"/>
          <w:i w:val="false"/>
          <w:caps w:val="false"/>
          <w:smallCaps w:val="false"/>
          <w:sz w:val="20"/>
        </w:rPr>
        <w:t>), warrants to purchase up to 1,592,000 ordinary shares of GSR III at $12.00 per share (the “</w:t>
      </w:r>
      <w:r>
        <w:rPr>
          <w:rFonts w:ascii="Times New Roman;Times;Serif" w:hAnsi="Times New Roman;Times;Serif"/>
          <w:b/>
          <w:i w:val="false"/>
          <w:caps w:val="false"/>
          <w:smallCaps w:val="false"/>
          <w:sz w:val="20"/>
        </w:rPr>
        <w:t>Half Warrants”</w:t>
      </w:r>
      <w:r>
        <w:rPr>
          <w:rFonts w:ascii="Times New Roman;Times;Serif" w:hAnsi="Times New Roman;Times;Serif"/>
          <w:b w:val="false"/>
          <w:i w:val="false"/>
          <w:caps w:val="false"/>
          <w:smallCaps w:val="false"/>
          <w:sz w:val="20"/>
        </w:rPr>
        <w:t>) and warrants to purchase up to 796,000 ordinary shares of GSR III at $16.00 per share (the “</w:t>
      </w:r>
      <w:r>
        <w:rPr>
          <w:rFonts w:ascii="Times New Roman;Times;Serif" w:hAnsi="Times New Roman;Times;Serif"/>
          <w:b/>
          <w:i w:val="false"/>
          <w:caps w:val="false"/>
          <w:smallCaps w:val="false"/>
          <w:sz w:val="20"/>
        </w:rPr>
        <w:t>Quarter Warrants”</w:t>
      </w:r>
      <w:r>
        <w:rPr>
          <w:rFonts w:ascii="Times New Roman;Times;Serif" w:hAnsi="Times New Roman;Times;Serif"/>
          <w:b w:val="false"/>
          <w:i w:val="false"/>
          <w:caps w:val="false"/>
          <w:smallCaps w:val="false"/>
          <w:sz w:val="20"/>
        </w:rPr>
        <w:t>, and together with the Half Warrants, the “</w:t>
      </w:r>
      <w:r>
        <w:rPr>
          <w:rFonts w:ascii="Times New Roman;Times;Serif" w:hAnsi="Times New Roman;Times;Serif"/>
          <w:b/>
          <w:i w:val="false"/>
          <w:caps w:val="false"/>
          <w:smallCaps w:val="false"/>
          <w:sz w:val="20"/>
        </w:rPr>
        <w:t>PIPE Warrants”</w:t>
      </w:r>
      <w:r>
        <w:rPr>
          <w:rFonts w:ascii="Times New Roman;Times;Serif" w:hAnsi="Times New Roman;Times;Serif"/>
          <w:b w:val="false"/>
          <w:i w:val="false"/>
          <w:caps w:val="false"/>
          <w:smallCaps w:val="false"/>
          <w:sz w:val="20"/>
        </w:rPr>
        <w:t>), for an aggregate total of approximately $31.8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23, 2025, GSR III entered into PIPE Subscription Agreements for an additional 499,500 PIPE Shares, Half Warrants to purchase up to 249,750 ordinary shares, and Quarter Warrants to purchase up to 124,875 ordinary shares, for an aggregate total of approximately $4.99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Warrants, issued in connection with closing of the PIPE Financing, are exercisable immediately upon issuance and have a term of five years from the date of issuance. The PIPE Shares and PIPE Warrants, as well as the ordinary shares issuable upon exercise of the PIPE Warrants, are subject to registration rights as described therein. Such description of the PIPE Subscription Agreement and the PIPE Warrants are qualified in their entirety by the text of the PIPE Subscription Agreement and PIPE Warrants, which are included as Exhibits 10.4, 4.1 and 4.2, respectively, and are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Terra entered into an assumption and assignment agreement with GSR III (the “</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pursuant to which Terra assumed all rights and obligations of GSR III under the PIPE Subscription Agreement and PIPE Warrants. Such description is qualified in its entirety by the text of the Assignment Agreement, which is included as Exhibit 10.5 to this Report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and the PIPE Warrants issued and sold in the PIPE Investment have not been registered under the Securities Act and have been issued in reliance on the availability of an exemption from such registration.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Bridge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Proxy Statement/Prospectus, between May 2025 and August 2025, Terra Innovatum entered into the Bridge Loans for gross cash proceeds of $5.0 million. The Bridge Loans accrued interest at a rate of 15.00% per annum, payable in kind (“</w:t>
      </w:r>
      <w:r>
        <w:rPr>
          <w:rFonts w:ascii="Times New Roman;Times;Serif" w:hAnsi="Times New Roman;Times;Serif"/>
          <w:b/>
          <w:i w:val="false"/>
          <w:caps w:val="false"/>
          <w:smallCaps w:val="false"/>
          <w:sz w:val="20"/>
        </w:rPr>
        <w:t>PIK”</w:t>
      </w:r>
      <w:r>
        <w:rPr>
          <w:rFonts w:ascii="Times New Roman;Times;Serif" w:hAnsi="Times New Roman;Times;Serif"/>
          <w:b w:val="false"/>
          <w:i w:val="false"/>
          <w:caps w:val="false"/>
          <w:smallCaps w:val="false"/>
          <w:sz w:val="20"/>
        </w:rPr>
        <w:t>) calculated on the outstanding principal balance. On the Closing, the principal and accrued interest on the Bridge Loans converted into 752,326 Ordinary Shares, in the aggregate, at a conversion price of $7.00 per share. Additionally, in connection with the Bridge Loans, as amended, Terra Innovatum committed to issue to the Bridge Loan Lenders following the business combination (i) warrants to purchase at an exercise price of $11.50 per share the number of Ordinary Shares equal to 100% of the number of Ordinary Shares into which the applicable Bridge Loan will convert into at Closing and (ii) warrants to purchase at an exercise price of $15.00 per share the number of Ordinary Shares equal to 100% of the number of Ordinary Shares into which the applicable Bridge Loan will convert into at Closing (the “</w:t>
      </w:r>
      <w:r>
        <w:rPr>
          <w:rFonts w:ascii="Times New Roman;Times;Serif" w:hAnsi="Times New Roman;Times;Serif"/>
          <w:b/>
          <w:i w:val="false"/>
          <w:caps w:val="false"/>
          <w:smallCaps w:val="false"/>
          <w:sz w:val="20"/>
        </w:rPr>
        <w:t>Bridge Warrants”</w:t>
      </w:r>
      <w:r>
        <w:rPr>
          <w:rFonts w:ascii="Times New Roman;Times;Serif" w:hAnsi="Times New Roman;Times;Serif"/>
          <w:b w:val="false"/>
          <w:i w:val="false"/>
          <w:caps w:val="false"/>
          <w:smallCaps w:val="false"/>
          <w:sz w:val="20"/>
        </w:rPr>
        <w:t>). The Bridge Warrants have an exercise period of 36 months from the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and September 2025, for certain lenders (“</w:t>
      </w:r>
      <w:r>
        <w:rPr>
          <w:rFonts w:ascii="Times New Roman;Times;Serif" w:hAnsi="Times New Roman;Times;Serif"/>
          <w:b/>
          <w:i w:val="false"/>
          <w:caps w:val="false"/>
          <w:smallCaps w:val="false"/>
          <w:sz w:val="20"/>
        </w:rPr>
        <w:t>the lenders”</w:t>
      </w:r>
      <w:r>
        <w:rPr>
          <w:rFonts w:ascii="Times New Roman;Times;Serif" w:hAnsi="Times New Roman;Times;Serif"/>
          <w:b w:val="false"/>
          <w:i w:val="false"/>
          <w:caps w:val="false"/>
          <w:smallCaps w:val="false"/>
          <w:sz w:val="20"/>
        </w:rPr>
        <w:t>), Terra Innovatum amended the terms of their outstanding Bridge Loan agreements including the terms of the associated warrant commitments. For the existing warrant commitments having an exercise price of $11.50 per share, the amendments increased the number of shares underlying such warrants to equal 100% of the shares issuable upon conversion of the Bridge Loans, and shortened the exercise period of warrants held by certain lenders from 48 months to 36 months. Additionally, Terra Innovatum added a commitment to issue to the lenders new warrants having a number of underlying common shares equal to 100% of the shares issuable upon conversion of the Bridge Loans and an exercise price of $15.00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Terra Innovatum entered into additional Bridge Loans for additional aggregate proceeds of $690,000 having comparable terms as the original Bridge Loans, as amended, including with respect to warrant coverage and terms of the Bridge Warrants for the additional Bridge Loans. On the Closing, the principal and accrued interest on the additional Bridge Loans converted into 99,157 Ordinary Shares, in the aggregate, at a conversion price of $7.00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Bridge Warrants is qualified in its entirety by the text of the Bridge Warrants, a form of which is included as Exhibit 4.3,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that Terra Innovatum Global N.V. management believes is relevant to an assessment and understanding of Terra Innovatum Global N.V.’s results of operations and financial condition. This discussion should be read together with Terra Innovatum Global N.V’s audited consolidated financial statements as of and for the year ended December 31, 2025 and 2024, and the related notes included elsewhere in this Form 10-K.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based upon current expectations that involve risks and uncertainties. Terra Innovatum Global N.V.’s actual results may differ materially from those anticipated in these forward-looking statements as a result of various factors, including those set forth under “Risk Factors” or in other parts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pioneering nuclear energy technology company developing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geographies and 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which significantly reduces regulatory and technological barriers typical in nuclear energy development. We have made substantial progress in de-risking its First-of-a-Kind (“</w:t>
      </w:r>
      <w:r>
        <w:rPr>
          <w:rFonts w:ascii="Times New Roman;Times;Serif" w:hAnsi="Times New Roman;Times;Serif"/>
          <w:b/>
          <w:i w:val="false"/>
          <w:caps w:val="false"/>
          <w:smallCaps w:val="false"/>
          <w:sz w:val="20"/>
        </w:rPr>
        <w:t>FOAK”</w:t>
      </w:r>
      <w:r>
        <w:rPr>
          <w:rFonts w:ascii="Times New Roman;Times;Serif" w:hAnsi="Times New Roman;Times;Serif"/>
          <w:b w:val="false"/>
          <w:i w:val="false"/>
          <w:caps w:val="false"/>
          <w:smallCaps w:val="false"/>
          <w:sz w:val="20"/>
        </w:rPr>
        <w:t>) reactor, including initiating regulatory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establishing a robust supply chain strategy. We have completed the reactor design, validated key technological components, and are targeting licensing and commercial deployment of the FOAK reactor by 2028.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and Public Listing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we completed our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pursuant to a Business Combination Agreement executed in April 2025. In connection with the transaction, Terra Innovatum Srl. completed a reorganization, including the formation of Terra Innovatum Global Srl., the contribution of all Terra Innovatum Srl. quotas, and a cross-border conversion into Terra Innovatum Global N.V. (“</w:t>
      </w:r>
      <w:r>
        <w:rPr>
          <w:rFonts w:ascii="Times New Roman;Times;Serif" w:hAnsi="Times New Roman;Times;Serif"/>
          <w:b/>
          <w:i w:val="false"/>
          <w:caps w:val="false"/>
          <w:smallCaps w:val="false"/>
          <w:sz w:val="20"/>
        </w:rPr>
        <w:t>Terra”</w:t>
      </w:r>
      <w:r>
        <w:rPr>
          <w:rFonts w:ascii="Times New Roman;Times;Serif" w:hAnsi="Times New Roman;Times;Serif"/>
          <w:b w:val="false"/>
          <w:i w:val="false"/>
          <w:caps w:val="false"/>
          <w:smallCaps w:val="false"/>
          <w:sz w:val="20"/>
        </w:rPr>
        <w:t>). At Closing, all GSR III securities converted into Terra ordinary shares on a one-for-one basis (net of redemptions), and Private Investment in Public Equity (“</w:t>
      </w:r>
      <w:r>
        <w:rPr>
          <w:rFonts w:ascii="Times New Roman;Times;Serif" w:hAnsi="Times New Roman;Times;Serif"/>
          <w:b/>
          <w:i w:val="false"/>
          <w:caps w:val="false"/>
          <w:smallCaps w:val="false"/>
          <w:sz w:val="20"/>
        </w:rPr>
        <w:t>PIPE”</w:t>
      </w:r>
      <w:r>
        <w:rPr>
          <w:rFonts w:ascii="Times New Roman;Times;Serif" w:hAnsi="Times New Roman;Times;Serif"/>
          <w:b w:val="false"/>
          <w:i w:val="false"/>
          <w:caps w:val="false"/>
          <w:smallCaps w:val="false"/>
          <w:sz w:val="20"/>
        </w:rPr>
        <w:t>) investors purchased securities at $10.00 per share. Net proceeds from the Business Combination and PIPE financing totaled approximately $106,713. The transaction was accounted for as a recapitalization, with Terra as the accounting acquirer.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Bridge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and September 2025, we issued $5,690 of unsecured bridge loans (the “</w:t>
      </w:r>
      <w:r>
        <w:rPr>
          <w:rFonts w:ascii="Times New Roman;Times;Serif" w:hAnsi="Times New Roman;Times;Serif"/>
          <w:b/>
          <w:i w:val="false"/>
          <w:caps w:val="false"/>
          <w:smallCaps w:val="false"/>
          <w:sz w:val="20"/>
        </w:rPr>
        <w:t>Bridge Loans”</w:t>
      </w:r>
      <w:r>
        <w:rPr>
          <w:rFonts w:ascii="Times New Roman;Times;Serif" w:hAnsi="Times New Roman;Times;Serif"/>
          <w:b w:val="false"/>
          <w:i w:val="false"/>
          <w:caps w:val="false"/>
          <w:smallCaps w:val="false"/>
          <w:sz w:val="20"/>
        </w:rPr>
        <w:t>) bearing 15% payment in kind (“</w:t>
      </w:r>
      <w:r>
        <w:rPr>
          <w:rFonts w:ascii="Times New Roman;Times;Serif" w:hAnsi="Times New Roman;Times;Serif"/>
          <w:b/>
          <w:i w:val="false"/>
          <w:caps w:val="false"/>
          <w:smallCaps w:val="false"/>
          <w:sz w:val="20"/>
        </w:rPr>
        <w:t>PIK”</w:t>
      </w:r>
      <w:r>
        <w:rPr>
          <w:rFonts w:ascii="Times New Roman;Times;Serif" w:hAnsi="Times New Roman;Times;Serif"/>
          <w:b w:val="false"/>
          <w:i w:val="false"/>
          <w:caps w:val="false"/>
          <w:smallCaps w:val="false"/>
          <w:sz w:val="20"/>
        </w:rPr>
        <w:t>) interest. Upon Closing of the Business Combination, all outstanding notes converted into 851,483 ordinary shares at a conversion price of $7.00 per share, and we issued warrants to purchase up to 851,483 ordinary shares at exercise prices of $11.50 and $15.00 each with a 36-month term. No Bridge Loan financing remained outstanding after conversion.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Business Combination, we issued 8,040 Convertible Preferred Shares, which are contingently convertible into ordinary shares based on milestone achievement. On October 16, 2025, certain milestones were met, and on November 13, 2025, our Board of Directors issued a confirmation statement in connection with the conversion of 4,020 preferred shares into 40,200,000 ordinary shares. Following the conversion, 4,020 preferred shares remained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Massimo Morichi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2025, we entered into a consulting agreement with Massimo Morici, our Chief Strategy Officer and a member of the Board of Directors, which was amended on December 23, 2025 and extended to December 31, 2025, pursuant to which Mr. Morici provided strategic and consulting services to us. During the year ended December 31, 2025, we awarded Mr. Morici an extraordinary bonus of $119 in connection with the completion of the business combination and related listing, $79 for reimbursable expenses under the agreement (treated as compensation for services) and $198 to Mr. Morici for his consultancy services. This consultancy expired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Guillaume Moyen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a consulting agreement with Guillaume Moyen, our former Chief Financial Officer and member of the Board of Directors, which was amended on September 30, 2025, pursuant to which Mr. Moyen provided business support and advisory services to us. During the year ended December 31, 2025, we awarded Mr. Moyen an extraordinary bonus of $100 in connection with the completion of the business combination and related listing and $167 to Mr. Moyen for his consultancy services. This consultancy expired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two interest-free loan agreements with Terra Innovatum Srl. legacy quotaholders (related parties) consisting of (i) an agreement executed in 2024 for approximately $216 (the “</w:t>
      </w:r>
      <w:r>
        <w:rPr>
          <w:rFonts w:ascii="Times New Roman;Times;Serif" w:hAnsi="Times New Roman;Times;Serif"/>
          <w:b/>
          <w:i w:val="false"/>
          <w:caps w:val="false"/>
          <w:smallCaps w:val="false"/>
          <w:sz w:val="20"/>
        </w:rPr>
        <w:t>2024 Loan Agreement”</w:t>
      </w:r>
      <w:r>
        <w:rPr>
          <w:rFonts w:ascii="Times New Roman;Times;Serif" w:hAnsi="Times New Roman;Times;Serif"/>
          <w:b w:val="false"/>
          <w:i w:val="false"/>
          <w:caps w:val="false"/>
          <w:smallCaps w:val="false"/>
          <w:sz w:val="20"/>
        </w:rPr>
        <w:t>), which was fully funded by March 31, 2025, and (ii) an agreement executed on March 21, 2025 for $74 (the “</w:t>
      </w:r>
      <w:r>
        <w:rPr>
          <w:rFonts w:ascii="Times New Roman;Times;Serif" w:hAnsi="Times New Roman;Times;Serif"/>
          <w:b/>
          <w:i w:val="false"/>
          <w:caps w:val="false"/>
          <w:smallCaps w:val="false"/>
          <w:sz w:val="20"/>
        </w:rPr>
        <w:t>2025 Loan Agreement”</w:t>
      </w:r>
      <w:r>
        <w:rPr>
          <w:rFonts w:ascii="Times New Roman;Times;Serif" w:hAnsi="Times New Roman;Times;Serif"/>
          <w:b w:val="false"/>
          <w:i w:val="false"/>
          <w:caps w:val="false"/>
          <w:smallCaps w:val="false"/>
          <w:sz w:val="20"/>
        </w:rPr>
        <w:t>), which was funded through April 10, 2025. Both loans were unsecured and scheduled to mature on December 31, 2040, with automatic annual extensions permitted through December 31, 2045, unless earlier repayment was requested by the legacy Terra Innovatum Srl. quotaholders. The loans were issued at par with no fees or discounts and do not include any rights or preferences that would affect the economics of the arrangement; accordingly, the terms were negotiated directly with related parties and were not intended to reflect market-based pricing.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lenders were related parties, we applied the Accounting Standards Codification (“ASC’) 835-30 related-party exception and did not impute interest. The loans were repaid in full upon the Closing of the Business Combination, and no amounts were outstanding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we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and an immaterial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in the previous year and subsequently year by year, with the first update taking effect on April 1, 2026. During the year ended December 31, 2025 we paid $10 in rent.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Services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an engineering services agreement with Nine, a related party, to support the design of the SOLO project. Per the terms of the agreement, Nine committed to deliver certain technical services to us with a total value of $215 (€184)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We expensed the costs associated with these services during the year ended December 31, 2025. Any unpaid amounts as of year-end are included in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an engineering services agreement with FPoliSolutions LLC (“</w:t>
      </w:r>
      <w:r>
        <w:rPr>
          <w:rFonts w:ascii="Times New Roman;Times;Serif" w:hAnsi="Times New Roman;Times;Serif"/>
          <w:b/>
          <w:i w:val="false"/>
          <w:caps w:val="false"/>
          <w:smallCaps w:val="false"/>
          <w:sz w:val="20"/>
        </w:rPr>
        <w:t>FPoli Solutions”</w:t>
      </w:r>
      <w:r>
        <w:rPr>
          <w:rFonts w:ascii="Times New Roman;Times;Serif" w:hAnsi="Times New Roman;Times;Serif"/>
          <w:b w:val="false"/>
          <w:i w:val="false"/>
          <w:caps w:val="false"/>
          <w:smallCaps w:val="false"/>
          <w:sz w:val="20"/>
        </w:rPr>
        <w:t>), a related party. As per the terms of the agreement, FPoliSolutions will provide support for the development of the SOLO Micro Modular Reactor including technical assistance in safety analysis, hazard modeling, radiological consequence evaluation, risk-informed safety assessments, and techno-economic analysis for $90 with work completed during September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an amendment to our existing engineering services agreement with FPoliSolutions. The amendment extends the scope of work through December 31, 2025, and adds one full-time engineer on a fixed-price basis of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SPAC Financial Advisory Services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entered into an engagement letter with a financial advisory services provider (the “</w:t>
      </w:r>
      <w:r>
        <w:rPr>
          <w:rFonts w:ascii="Times New Roman;Times;Serif" w:hAnsi="Times New Roman;Times;Serif"/>
          <w:b/>
          <w:i w:val="false"/>
          <w:caps w:val="false"/>
          <w:smallCaps w:val="false"/>
          <w:sz w:val="20"/>
        </w:rPr>
        <w:t>SPAC Financial Advisor”</w:t>
      </w:r>
      <w:r>
        <w:rPr>
          <w:rFonts w:ascii="Times New Roman;Times;Serif" w:hAnsi="Times New Roman;Times;Serif"/>
          <w:b w:val="false"/>
          <w:i w:val="false"/>
          <w:caps w:val="false"/>
          <w:smallCaps w:val="false"/>
          <w:sz w:val="20"/>
        </w:rPr>
        <w:t>) to assist with the negotiation, structuring, and execution of our business combination with a special purpose acquisition company (“</w:t>
      </w:r>
      <w:r>
        <w:rPr>
          <w:rFonts w:ascii="Times New Roman;Times;Serif" w:hAnsi="Times New Roman;Times;Serif"/>
          <w:b/>
          <w:i w:val="false"/>
          <w:caps w:val="false"/>
          <w:smallCaps w:val="false"/>
          <w:sz w:val="20"/>
        </w:rPr>
        <w:t>SPAC”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SPAC Financial Advisory Services Agreement”</w:t>
      </w:r>
      <w:r>
        <w:rPr>
          <w:rFonts w:ascii="Times New Roman;Times;Serif" w:hAnsi="Times New Roman;Times;Serif"/>
          <w:b w:val="false"/>
          <w:i w:val="false"/>
          <w:caps w:val="false"/>
          <w:smallCaps w:val="false"/>
          <w:sz w:val="20"/>
        </w:rPr>
        <w:t>). Under the agreement, the SPAC Financial Advisor also supported the preparation of marketing materials and efforts to secure potential backstop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October 9, 2025, we issued 223,000 ordinary shares to the SPAC Financial Advisor and also issued 40 Convertible Preferred Shares, which were contingently convertible into our ordinary shares at a ratio of 10,000 ordinary shares per Convertible Preferred Share, subject to milestone-based tranche conversion conditions pursuant to the Business Combination Agreement and the SPAC Financial Advisory Services Agreement. On October 16, 2025, certain conversion milestones were achieved, and on November 13, 2025, our Board of Directors issued a confirmation statement in connection with the conversion of 20 preferred shares resulting in the issuance of 200,000 ordinary shares to the SPAC Financial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paid the cash success fee of $2,500 and the milestone fee of $225. During the year ended December 31, 2024, we paid the retainer fee of $50 and the LOI signature fee of $25. As of December 31, 2025, we had no non-cancelable remaining cash commitments under the SPAC Financial Advisory Services Agreement, as all remaining obligations are either contingent on future events or relate to reimbursable costs recognized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and Advisory Services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an investor relations and advisory services agreement (the “</w:t>
      </w:r>
      <w:r>
        <w:rPr>
          <w:rFonts w:ascii="Times New Roman;Times;Serif" w:hAnsi="Times New Roman;Times;Serif"/>
          <w:b/>
          <w:i w:val="false"/>
          <w:caps w:val="false"/>
          <w:smallCaps w:val="false"/>
          <w:sz w:val="20"/>
        </w:rPr>
        <w:t>October 27, 2025 Investor Relations and Advisory Services Agreement”</w:t>
      </w:r>
      <w:r>
        <w:rPr>
          <w:rFonts w:ascii="Times New Roman;Times;Serif" w:hAnsi="Times New Roman;Times;Serif"/>
          <w:b w:val="false"/>
          <w:i w:val="false"/>
          <w:caps w:val="false"/>
          <w:smallCaps w:val="false"/>
          <w:sz w:val="20"/>
        </w:rPr>
        <w:t>) with the same vendor, effective November 1, 2025. The initial term extends through April 30, 2026, with automatic annual renewals unless terminated by either party with 60 days’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for a fixed monthly fee of $25, covering up to 84 hours of services allocated as follows: (i) 50 hours of investor relations, public relations, media, capital markets, and market-intelligence support for $17; (ii) 14 hours of social-media and communications services for $4; and (iii) 20 hours of business-development support for $5. We are also required to pay a 3% monthly service fee related to access to market-intelligence platforms. Additional services, including support for special situations such as M&amp;A or crisis management, are billed at the vendor’s standard hourly rates, which may reach up to $1 per hour depending on personnel level.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Advisory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22, 2025 Capital Markets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agreement (the “</w:t>
      </w:r>
      <w:r>
        <w:rPr>
          <w:rFonts w:ascii="Times New Roman;Times;Serif" w:hAnsi="Times New Roman;Times;Serif"/>
          <w:b/>
          <w:i w:val="false"/>
          <w:caps w:val="false"/>
          <w:smallCaps w:val="false"/>
          <w:sz w:val="20"/>
        </w:rPr>
        <w:t>September 22, 2025 Capital Markets Advisory Agreement”</w:t>
      </w:r>
      <w:r>
        <w:rPr>
          <w:rFonts w:ascii="Times New Roman;Times;Serif" w:hAnsi="Times New Roman;Times;Serif"/>
          <w:b w:val="false"/>
          <w:i w:val="false"/>
          <w:caps w:val="false"/>
          <w:smallCaps w:val="false"/>
          <w:sz w:val="20"/>
        </w:rPr>
        <w:t>) for a 12-month engagement period commencing August 19, 2025. Under the agreement, the vendor provides strategic capital markets advisory services, including support through the Closing and post-close public company advisory. As consideration for these services, a cash fee of $150 is payable upon close of the business combination, with additional cash fees of $125 90 days after close and $125 180 days after close. The agreement includes standard indemnification provisions and may be terminated upon 10 days’ written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14, 2025 Capital Markets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 agreement (the “</w:t>
      </w:r>
      <w:r>
        <w:rPr>
          <w:rFonts w:ascii="Times New Roman;Times;Serif" w:hAnsi="Times New Roman;Times;Serif"/>
          <w:b/>
          <w:i w:val="false"/>
          <w:caps w:val="false"/>
          <w:smallCaps w:val="false"/>
          <w:sz w:val="20"/>
        </w:rPr>
        <w:t>October 14, 2025 Capital Markets Advisory Agreement”</w:t>
      </w:r>
      <w:r>
        <w:rPr>
          <w:rFonts w:ascii="Times New Roman;Times;Serif" w:hAnsi="Times New Roman;Times;Serif"/>
          <w:b w:val="false"/>
          <w:i w:val="false"/>
          <w:caps w:val="false"/>
          <w:smallCaps w:val="false"/>
          <w:sz w:val="20"/>
        </w:rPr>
        <w:t>) with a vendor for a term of 24 months. Under the agreement, the vendor will provide advisory services including assistance with research coverage, investor meetings, non-deal roadshows, and participation in the vendor hosted investor conferences. As compensation for these services, a total of $600 is due, structured as follows: $300 in cash, payable 12 months from the agreement date and $300 in cash, payable 24 months from the agreement date. These fees are subject to reduction by any fees paid to the vendor for other transactions during the term, up to a maximum offset of $600. In the event of a change of control during the term, the full advisory fee becomes immediately due and payable. The agreement contains standard indemnification clauses and may be terminated earlier only in the event of breach or for cause.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23, 2025 Capital Markets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an agreement (the “</w:t>
      </w:r>
      <w:r>
        <w:rPr>
          <w:rFonts w:ascii="Times New Roman;Times;Serif" w:hAnsi="Times New Roman;Times;Serif"/>
          <w:b/>
          <w:i w:val="false"/>
          <w:caps w:val="false"/>
          <w:smallCaps w:val="false"/>
          <w:sz w:val="20"/>
        </w:rPr>
        <w:t>October 23, 2025 Capital Markets Advisory Agreement”</w:t>
      </w:r>
      <w:r>
        <w:rPr>
          <w:rFonts w:ascii="Times New Roman;Times;Serif" w:hAnsi="Times New Roman;Times;Serif"/>
          <w:b w:val="false"/>
          <w:i w:val="false"/>
          <w:caps w:val="false"/>
          <w:smallCaps w:val="false"/>
          <w:sz w:val="20"/>
        </w:rPr>
        <w:t>) with a vendor to serve as our financial and capital markets advisor for a one-year term. Under the agreement, the vendor will provide advisory services including investor positioning, coordination of investor meetings, and participation in investor conferences, among other mutually agreed services. As consideration for these services, an advisory fee of $700 is due, payable in three installments, $233 which was paid upon execution of the agreement in October 2025, $233 on March 15, 2026, and $233 upon the end of the term of the agreement, October 23, 2026. The agreement contains standard indemnification clauses and may be terminated earlier only in the event of breach or for cause.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27, 2025 Capital Markets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an agreement (the “</w:t>
      </w:r>
      <w:r>
        <w:rPr>
          <w:rFonts w:ascii="Times New Roman;Times;Serif" w:hAnsi="Times New Roman;Times;Serif"/>
          <w:b/>
          <w:i w:val="false"/>
          <w:caps w:val="false"/>
          <w:smallCaps w:val="false"/>
          <w:sz w:val="20"/>
        </w:rPr>
        <w:t>October 27, 2025 Capital Markets Advisory Agreement”</w:t>
      </w:r>
      <w:r>
        <w:rPr>
          <w:rFonts w:ascii="Times New Roman;Times;Serif" w:hAnsi="Times New Roman;Times;Serif"/>
          <w:b w:val="false"/>
          <w:i w:val="false"/>
          <w:caps w:val="false"/>
          <w:smallCaps w:val="false"/>
          <w:sz w:val="20"/>
        </w:rPr>
        <w:t>) with a vendor for a 12-month engagement period beginning January 1, 2026. Under the October 27, 2025 Capital Markets Advisory Agreement, the vendor will provide strategic capital markets advisory services, including development of capital market strategy, institutional investor relationship development, participation in conferences and investor meetings and non-deal roadshows and related support. As compensation for these services, an advisory fee of $350 is due, structured as follows: $105 which was paid upon execution of the agreement on October 27, 2025 and $245 payable on January 1, 2026. The October 27, 2025 Capital Markets Advisory Agreement includes standard indemnification clauses and may be terminated with 90 days’ written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entered into a agreement (the “</w:t>
      </w:r>
      <w:r>
        <w:rPr>
          <w:rFonts w:ascii="Times New Roman;Times;Serif" w:hAnsi="Times New Roman;Times;Serif"/>
          <w:b/>
          <w:i w:val="false"/>
          <w:caps w:val="false"/>
          <w:smallCaps w:val="false"/>
          <w:sz w:val="20"/>
        </w:rPr>
        <w:t>December 1, 2025 Engineering Services Agreement”</w:t>
      </w:r>
      <w:r>
        <w:rPr>
          <w:rFonts w:ascii="Times New Roman;Times;Serif" w:hAnsi="Times New Roman;Times;Serif"/>
          <w:b w:val="false"/>
          <w:i w:val="false"/>
          <w:caps w:val="false"/>
          <w:smallCaps w:val="false"/>
          <w:sz w:val="20"/>
        </w:rPr>
        <w:t>) for vendor-provided engineering services in support of SOLO licensing activities. The agreement specifies total consideration of €433 (plus applicable VAT), payable in four monthly installments of €108.25 each, with payment due within 10 days of invoice. The agreement includes customary confidentiality, intellectual property, and governing-law provisions. The agreement contains standard indemnification clauses and may be terminated only for material breach, in which case we are obligated to pay only for services rendered through termination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Feasibility and Industrialization Study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entered into an agreement with a vendor to conduct a feasibility and industrialization study (the “</w:t>
      </w:r>
      <w:r>
        <w:rPr>
          <w:rFonts w:ascii="Times New Roman;Times;Serif" w:hAnsi="Times New Roman;Times;Serif"/>
          <w:b/>
          <w:i w:val="false"/>
          <w:caps w:val="false"/>
          <w:smallCaps w:val="false"/>
          <w:sz w:val="20"/>
        </w:rPr>
        <w:t>Feasibility and Industrialization Study Agreement”</w:t>
      </w:r>
      <w:r>
        <w:rPr>
          <w:rFonts w:ascii="Times New Roman;Times;Serif" w:hAnsi="Times New Roman;Times;Serif"/>
          <w:b w:val="false"/>
          <w:i w:val="false"/>
          <w:caps w:val="false"/>
          <w:smallCaps w:val="false"/>
          <w:sz w:val="20"/>
        </w:rPr>
        <w:t>) for the SOLO Micro Modular Nuclear Reactor project. The Feasibility and Industrialization Study Agreement outlines a comprehensive scope of engineering, fabrication planning, cost analysis, and regulatory support activities to be performed by the vendor. Under the Feasibility and Industrialization Study Agreement, total consideration based on estimated man-hours and hourly rates as defined in the agreement is due with a payment structure including 10% of the total price payable within 7 days of execution, and the remaining balance payable monthly based on progress milestones and time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Feasibility and Industrialization Study Agreement allows for price adjustments if actual man-hours exceed estimates by more than 5%, or if additional activities are agreed upon. Any such adjustments will be subject to separate written agreement. The term of the Feasibility and industrialization Study Agreement is a minimum of 6 months and up to 24 months, effective upon receipt of the advance payment. Either party may terminate the agreement under specified conditions, including non-payment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Advisor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2025, we entered into an agreement (the “</w:t>
      </w:r>
      <w:r>
        <w:rPr>
          <w:rFonts w:ascii="Times New Roman;Times;Serif" w:hAnsi="Times New Roman;Times;Serif"/>
          <w:b/>
          <w:i w:val="false"/>
          <w:caps w:val="false"/>
          <w:smallCaps w:val="false"/>
          <w:sz w:val="20"/>
        </w:rPr>
        <w:t>Senior Advisor Agreement”</w:t>
      </w:r>
      <w:r>
        <w:rPr>
          <w:rFonts w:ascii="Times New Roman;Times;Serif" w:hAnsi="Times New Roman;Times;Serif"/>
          <w:b w:val="false"/>
          <w:i w:val="false"/>
          <w:caps w:val="false"/>
          <w:smallCaps w:val="false"/>
          <w:sz w:val="20"/>
        </w:rPr>
        <w:t>) with an independent contractor to serve as a strategic advisor and promoter for us, particularly in connection with the Business Combination. The term of the Senior Advisor Agreement is 36 months and outlines the independent contractor’s responsibilities, including strategic advisory, business development, investor introductions, and support for commercial agreements related to SOLO. Compensation includes a one-time grant of 180,000 restricted shares in the post-combination public entity (vesting over 36 months) and 1% commission on qualifying new business the independent contractor originates. As of December 31, 2025, these restricted shares have not been granted.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we reported a net income of $539,524 and net loss of $34, respectively. Net cash used by operating activities was $10,297 for the year ended December 31, 2025 compared to net cash used of $42 for the year ended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and Trends Affecting Our Business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factors and trends may cause previously reported financial information not to be necessarily indicative of future operating results or future financial conditions: </w:t>
      </w:r>
    </w:p>
    <w:p>
      <w:pPr>
        <w:pStyle w:val="TextBody"/>
        <w:bidi w:val="0"/>
        <w:spacing w:before="0" w:after="0"/>
        <w:ind w:left="0" w:right="0" w:firstLine="36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b/>
                <w:sz w:val="20"/>
              </w:rPr>
            </w:pPr>
            <w:r>
              <w:rPr>
                <w:b/>
                <w:sz w:val="20"/>
              </w:rPr>
              <w:t>Product Development Plan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rollout of any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pStyle w:val="TextBody"/>
        <w:bidi w:val="0"/>
        <w:spacing w:before="0" w:after="0"/>
        <w:ind w:left="0" w:right="0" w:firstLine="36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left"/>
              <w:rPr>
                <w:b/>
                <w:sz w:val="20"/>
              </w:rPr>
            </w:pPr>
            <w:r>
              <w:rPr>
                <w:b/>
                <w:sz w:val="20"/>
              </w:rPr>
              <w:t>Funding and Investment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36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b/>
                <w:sz w:val="20"/>
              </w:rPr>
            </w:pPr>
            <w:r>
              <w:rPr>
                <w:b/>
                <w:sz w:val="20"/>
              </w:rPr>
              <w:t>Macroeconomic Conditions and Global Market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pStyle w:val="TextBody"/>
        <w:bidi w:val="0"/>
        <w:spacing w:before="0" w:after="0"/>
        <w:ind w:left="0" w:right="0" w:firstLine="36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b/>
                <w:sz w:val="20"/>
              </w:rPr>
            </w:pPr>
            <w:r>
              <w:rPr>
                <w:b/>
                <w:sz w:val="20"/>
              </w:rPr>
              <w:t>Global Supply Chain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 Our current assembly preparation in Europe for reactor deployment in the U.S. introduces additional complexity in navigating international trade regulations, currency exchange risks, and logistical challenges.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w:t>
      </w:r>
    </w:p>
    <w:p>
      <w:pPr>
        <w:pStyle w:val="TextBody"/>
        <w:bidi w:val="0"/>
        <w:spacing w:before="0" w:after="0"/>
        <w:ind w:left="0" w:right="0" w:firstLine="36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b/>
                <w:sz w:val="20"/>
              </w:rPr>
            </w:pPr>
            <w:r>
              <w:rPr>
                <w:b/>
                <w:sz w:val="20"/>
              </w:rPr>
              <w:t>Inflation and Cost Pressures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trends represent a risk to our development trajectory. Escalating costs in specialized manufacturing, regulatory compliance, technical talent acquisition, and raw material procurement could potentially erode our projected economic advantages.</w:t>
      </w:r>
    </w:p>
    <w:p>
      <w:pPr>
        <w:pStyle w:val="TextBody"/>
        <w:bidi w:val="0"/>
        <w:spacing w:before="0" w:after="0"/>
        <w:ind w:left="0" w:right="0" w:firstLine="36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b/>
                <w:sz w:val="20"/>
              </w:rPr>
            </w:pPr>
            <w:r>
              <w:rPr>
                <w:b/>
                <w:sz w:val="20"/>
              </w:rPr>
              <w:t>Energy Market Evolution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 AI 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pStyle w:val="TextBody"/>
        <w:bidi w:val="0"/>
        <w:spacing w:before="0" w:after="0"/>
        <w:ind w:left="0" w:right="0" w:firstLine="36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b/>
                <w:sz w:val="20"/>
              </w:rPr>
            </w:pPr>
            <w:r>
              <w:rPr>
                <w:b/>
                <w:sz w:val="20"/>
              </w:rPr>
              <w:t>Regulatory and Geopolitical Landscape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pStyle w:val="TextBody"/>
        <w:bidi w:val="0"/>
        <w:spacing w:before="0" w:after="0"/>
        <w:ind w:left="0" w:right="0" w:firstLine="36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b/>
                <w:sz w:val="20"/>
              </w:rPr>
            </w:pPr>
            <w:r>
              <w:rPr>
                <w:b/>
                <w:sz w:val="20"/>
              </w:rPr>
              <w:t>Technological and Labor Market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firstLine="36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170"/>
        <w:gridCol w:w="2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b/>
                <w:sz w:val="20"/>
              </w:rPr>
            </w:pPr>
            <w:r>
              <w:rPr>
                <w:b/>
                <w:sz w:val="20"/>
              </w:rPr>
              <w:t>Economic Uncertainty Factors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nuclear energy technology company focused on the research, development, and future commercialization of our SOLO micro-modular nuclear reactor. Our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consolidated financial statements. The CODM primarily uses consolidated general and administrative expenses and development costs to assess operating performance and liquidity. We have not generated revenue from external customers, as our SOLO product remains under development.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and do not expect to generate any revenue from the sale of products for the foreseeable future.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consists primarily of advisory fees in connection with the Business Combination, legal fees, audit, accounting and other professional services fees, share-settled contingent liability fees, Board of Directors compensation, insurance fees, transportation costs, fees for food and lodging, advertising fees, patent application fees, rental costs, certificates and procedure fees, employee benefits, bank charges, periodic fees, and other miscellaneous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income-related party consists of fees from engineering consulting services that we provide to related parties that are unrelated to our core business. We do not expect to earn these fees following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expense, net primarily consists of other expenses associated with the Bridge Loans, foreign currency transaction gains and losses,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 consists of interest recorded for the Bridge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share settled contingent liability consists of the change in fair value of certain issuances of Convertible Preferred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warrant liabilities consists of the change in fair value of certain PIPE and Bridge Loan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(or benefit) for income taxes consists of the expense or income related to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Compared to Year Ended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historical results for the periods indicated and the changes between periods:</w:t>
      </w:r>
    </w:p>
    <w:p>
      <w:pPr>
        <w:pStyle w:val="TextBody"/>
        <w:bidi w:val="0"/>
        <w:spacing w:before="0" w:after="0"/>
        <w:ind w:left="0" w:right="0" w:firstLine="360"/>
        <w:jc w:val="center"/>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5120"/>
        <w:gridCol w:w="60"/>
        <w:gridCol w:w="140"/>
        <w:gridCol w:w="800"/>
        <w:gridCol w:w="95"/>
        <w:gridCol w:w="60"/>
        <w:gridCol w:w="140"/>
        <w:gridCol w:w="455"/>
        <w:gridCol w:w="95"/>
        <w:gridCol w:w="60"/>
        <w:gridCol w:w="168"/>
        <w:gridCol w:w="962"/>
        <w:gridCol w:w="95"/>
        <w:gridCol w:w="60"/>
        <w:gridCol w:w="72"/>
        <w:gridCol w:w="1178"/>
        <w:gridCol w:w="305"/>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0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30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32,233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41,324</w:t>
            </w:r>
          </w:p>
        </w:tc>
        <w:tc>
          <w:tcPr>
            <w:tcW w:w="305" w:type="dxa"/>
            <w:tcBorders/>
            <w:shd w:fill="CCEEFF" w:val="clear"/>
            <w:vAlign w:val="center"/>
          </w:tcPr>
          <w:p>
            <w:pPr>
              <w:pStyle w:val="TableContents"/>
              <w:bidi w:val="0"/>
              <w:spacing w:before="0" w:after="283"/>
              <w:jc w:val="left"/>
              <w:rPr/>
            </w:pPr>
            <w:r>
              <w:rPr/>
              <w:t>%</w:t>
            </w:r>
          </w:p>
        </w:tc>
      </w:tr>
      <w:tr>
        <w:trPr/>
        <w:tc>
          <w:tcPr>
            <w:tcW w:w="5120"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pPr>
            <w:r>
              <w:rPr/>
              <w:t>1,313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1,751</w:t>
            </w:r>
          </w:p>
        </w:tc>
        <w:tc>
          <w:tcPr>
            <w:tcW w:w="305" w:type="dxa"/>
            <w:tcBorders/>
            <w:shd w:fill="FFFFFF" w:val="clear"/>
            <w:vAlign w:val="center"/>
          </w:tcPr>
          <w:p>
            <w:pPr>
              <w:pStyle w:val="TableContents"/>
              <w:bidi w:val="0"/>
              <w:spacing w:before="0" w:after="283"/>
              <w:jc w:val="left"/>
              <w:rPr/>
            </w:pPr>
            <w:r>
              <w:rPr/>
              <w:t>%</w:t>
            </w:r>
          </w:p>
        </w:tc>
      </w:tr>
      <w:tr>
        <w:trPr/>
        <w:tc>
          <w:tcPr>
            <w:tcW w:w="512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21,925</w:t>
            </w:r>
          </w:p>
        </w:tc>
        <w:tc>
          <w:tcPr>
            <w:tcW w:w="305" w:type="dxa"/>
            <w:tcBorders/>
            <w:shd w:fill="CCEEFF" w:val="clear"/>
            <w:vAlign w:val="center"/>
          </w:tcPr>
          <w:p>
            <w:pPr>
              <w:pStyle w:val="TableContents"/>
              <w:bidi w:val="0"/>
              <w:spacing w:before="0" w:after="283"/>
              <w:jc w:val="left"/>
              <w:rPr>
                <w:b/>
              </w:rPr>
            </w:pPr>
            <w:r>
              <w:rPr>
                <w:b/>
              </w:rPr>
              <w:t>%</w:t>
            </w:r>
          </w:p>
        </w:tc>
      </w:tr>
      <w:tr>
        <w:trPr/>
        <w:tc>
          <w:tcPr>
            <w:tcW w:w="512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(33,699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21,925</w:t>
            </w:r>
          </w:p>
        </w:tc>
        <w:tc>
          <w:tcPr>
            <w:tcW w:w="305" w:type="dxa"/>
            <w:tcBorders/>
            <w:shd w:fill="FFFFFF" w:val="clear"/>
            <w:vAlign w:val="center"/>
          </w:tcPr>
          <w:p>
            <w:pPr>
              <w:pStyle w:val="TableContents"/>
              <w:bidi w:val="0"/>
              <w:spacing w:before="0" w:after="283"/>
              <w:jc w:val="left"/>
              <w:rPr>
                <w:b/>
              </w:rPr>
            </w:pPr>
            <w:r>
              <w:rPr>
                <w:b/>
              </w:rPr>
              <w:t>%</w:t>
            </w:r>
          </w:p>
        </w:tc>
      </w:tr>
      <w:tr>
        <w:trPr/>
        <w:tc>
          <w:tcPr>
            <w:tcW w:w="5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Other income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(100</w:t>
            </w:r>
          </w:p>
        </w:tc>
        <w:tc>
          <w:tcPr>
            <w:tcW w:w="305" w:type="dxa"/>
            <w:tcBorders/>
            <w:shd w:fill="CCEEFF" w:val="clear"/>
            <w:vAlign w:val="center"/>
          </w:tcPr>
          <w:p>
            <w:pPr>
              <w:pStyle w:val="TableContents"/>
              <w:bidi w:val="0"/>
              <w:spacing w:before="0" w:after="283"/>
              <w:jc w:val="left"/>
              <w:rPr/>
            </w:pPr>
            <w:r>
              <w:rPr/>
              <w:t>)%</w:t>
            </w:r>
          </w:p>
        </w:tc>
      </w:tr>
      <w:tr>
        <w:trPr/>
        <w:tc>
          <w:tcPr>
            <w:tcW w:w="5120"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1,906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559,967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pPr>
            <w:r>
              <w:rPr/>
              <w:t>16,588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b/>
              </w:rPr>
            </w:pPr>
            <w:r>
              <w:rPr>
                <w:b/>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573,223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573,094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444,259</w:t>
            </w:r>
          </w:p>
        </w:tc>
        <w:tc>
          <w:tcPr>
            <w:tcW w:w="305" w:type="dxa"/>
            <w:tcBorders/>
            <w:shd w:fill="FFFFFF" w:val="clear"/>
            <w:vAlign w:val="center"/>
          </w:tcPr>
          <w:p>
            <w:pPr>
              <w:pStyle w:val="TableContents"/>
              <w:bidi w:val="0"/>
              <w:spacing w:before="0" w:after="283"/>
              <w:jc w:val="left"/>
              <w:rPr>
                <w:b/>
              </w:rPr>
            </w:pPr>
            <w:r>
              <w:rPr>
                <w:b/>
              </w:rPr>
              <w:t>%</w:t>
            </w:r>
          </w:p>
        </w:tc>
      </w:tr>
      <w:tr>
        <w:trPr/>
        <w:tc>
          <w:tcPr>
            <w:tcW w:w="5120" w:type="dxa"/>
            <w:tcBorders/>
            <w:shd w:fill="CCEEFF" w:val="clear"/>
            <w:vAlign w:val="center"/>
          </w:tcPr>
          <w:p>
            <w:pPr>
              <w:pStyle w:val="TableContents"/>
              <w:bidi w:val="0"/>
              <w:spacing w:before="0" w:after="283"/>
              <w:jc w:val="left"/>
              <w:rPr>
                <w:b/>
              </w:rPr>
            </w:pPr>
            <w:r>
              <w:rPr>
                <w:b/>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539,548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2,248,117</w:t>
            </w:r>
          </w:p>
        </w:tc>
        <w:tc>
          <w:tcPr>
            <w:tcW w:w="305" w:type="dxa"/>
            <w:tcBorders/>
            <w:shd w:fill="CCEEFF" w:val="clear"/>
            <w:vAlign w:val="center"/>
          </w:tcPr>
          <w:p>
            <w:pPr>
              <w:pStyle w:val="TableContents"/>
              <w:bidi w:val="0"/>
              <w:spacing w:before="0" w:after="283"/>
              <w:jc w:val="left"/>
              <w:rPr>
                <w:b/>
              </w:rPr>
            </w:pPr>
            <w:r>
              <w:rPr>
                <w:b/>
              </w:rPr>
              <w:t>%</w:t>
            </w:r>
          </w:p>
        </w:tc>
      </w:tr>
      <w:tr>
        <w:trPr/>
        <w:tc>
          <w:tcPr>
            <w:tcW w:w="512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305" w:type="dxa"/>
            <w:tcBorders/>
            <w:shd w:fill="FFFFFF" w:val="clear"/>
            <w:vAlign w:val="center"/>
          </w:tcPr>
          <w:p>
            <w:pPr>
              <w:pStyle w:val="TableContents"/>
              <w:bidi w:val="0"/>
              <w:spacing w:before="0" w:after="283"/>
              <w:jc w:val="left"/>
              <w:rPr/>
            </w:pPr>
            <w:r>
              <w:rPr/>
              <w:t>%</w:t>
            </w:r>
          </w:p>
        </w:tc>
      </w:tr>
      <w:tr>
        <w:trPr/>
        <w:tc>
          <w:tcPr>
            <w:tcW w:w="512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539,558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1,586,935</w:t>
            </w:r>
          </w:p>
        </w:tc>
        <w:tc>
          <w:tcPr>
            <w:tcW w:w="30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increased by $32,233 for the year ended December 31, 2025 compared to the same period in 2024 primarily due to increases of (i) $19,725 related to the share-settled contingent liability, (ii) $7,207 for compensation to third parties, (iii) $2,082 for board of director compensation, (iv) $1,774 for professional fees, (v) $594 for insurance, (vi) $250 for transportation, (vii) $211 for food and lodging, and (viii) $100 for advertising. The remaining $290 increase is primarily driven by patent application fees, rental costs, certificates and procedures, employee benefits, bank charges, periodic fees, and other miscellaneous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Securities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$1,313 for the year ended December 31, 2025 compared to the same period in 2024 primarily due to increases of $1,256 in technical consultancy fees and $25 in salaries and wages. The remaining $32 increase is primarily driven by employee benefits and travel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provided $129 of engineering consulting services to an affiliate unrelated to our core business. These services are considered other income associated with related parties and were not provided during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$1,906 during the year ended December 31, 2025 compared to zero during the same period in 2024. This was primarily due to (i) a $1,372 increase driven by non-cash losses recognized upon issuance of bridge loan warrants, as the fair value of the warrants exceeded the associated loan proceeds at initial recognition, and a (ii) net foreign currency loss of $1,028, which is partially offset by (iii) an increase in interest income of $494.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totaled $1,426 for the year ended December 31, 2025, attributable to the Bridge Loans. There was no interest expense during the same period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$559,967 unrealized gain in fair value attributable to the change in fair value of the share settled contingent liability. There was no share settled contingent liability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$16,588 unrealized gain in fair value attributable to warrant liabilities consists of the change in fair value of certain PIPE and Bridge Loan warrants. There was no warrant liability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decreased from $10 to zero from the year ended December 31, 2024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year ended December 31, 2025 was $539,524 compared to net loss of $34 for the year ended December 31, 2024. The $539,558 net change was primarily due to the $559,967 unrealized gain on change in fair value - share settled contingent liability and $16,588 unrealized gain on change in fair value of warrant liabilities. These increases were partially offset by increases of $33,546 in operating expenses, $1,906 in other expense, net and $1,426 in interest expense. The remaining $119 net change is primarily attributable to the decreases in other income from related party and provision for income taxes from the year ended December 31, 2024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$102,882 and an accumulated deficit of approximately $607,276. Net cash used in operating activities was $10,297 for the year ended December 31, 2025. We have historically incurred recurring operating losses and generated negative cash flows from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Contractual Cash Requirements (Cancellable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“Recent Developments” above, we entered into several advisory and engineering arrangements during 2024 and 2025 in connection with the Business Combination and our post-combination activities. Although these agreements are cancellable under their respective terms and therefore do not constitute non-cancelable purchase commitments, we currently expect to incur cash outflows associated with these arrangements under our ongoing operating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detailed information about our net cash flows for the year ended December 31, 2025 and 2024:</w:t>
      </w:r>
    </w:p>
    <w:p>
      <w:pPr>
        <w:pStyle w:val="TextBody"/>
        <w:bidi w:val="0"/>
        <w:spacing w:before="0" w:after="0"/>
        <w:ind w:left="0" w:right="0" w:firstLine="360"/>
        <w:jc w:val="left"/>
        <w:rPr>
          <w:caps w:val="false"/>
          <w:smallCaps w:val="false"/>
        </w:rPr>
      </w:pPr>
      <w:r>
        <w:rPr>
          <w:caps w:val="false"/>
          <w:smallCaps w:val="false"/>
        </w:rPr>
        <w:t> </w:t>
      </w:r>
    </w:p>
    <w:tbl>
      <w:tblPr>
        <w:tblW w:w="6088" w:type="dxa"/>
        <w:jc w:val="left"/>
        <w:tblInd w:w="0" w:type="dxa"/>
        <w:tblLayout w:type="fixed"/>
        <w:tblCellMar>
          <w:top w:w="0" w:type="dxa"/>
          <w:left w:w="0" w:type="dxa"/>
          <w:bottom w:w="0" w:type="dxa"/>
          <w:right w:w="0" w:type="dxa"/>
        </w:tblCellMar>
      </w:tblPr>
      <w:tblGrid>
        <w:gridCol w:w="3200"/>
        <w:gridCol w:w="60"/>
        <w:gridCol w:w="235"/>
        <w:gridCol w:w="1347"/>
        <w:gridCol w:w="160"/>
        <w:gridCol w:w="101"/>
        <w:gridCol w:w="235"/>
        <w:gridCol w:w="640"/>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b/>
              </w:rPr>
            </w:pPr>
            <w:r>
              <w:rPr>
                <w:b/>
              </w:rPr>
              <w:t>Net cash provided by (used in):</w:t>
            </w:r>
          </w:p>
        </w:tc>
        <w:tc>
          <w:tcPr>
            <w:tcW w:w="60" w:type="dxa"/>
            <w:tcBorders/>
            <w:vAlign w:val="center"/>
          </w:tcPr>
          <w:p>
            <w:pPr>
              <w:pStyle w:val="TableContents"/>
              <w:bidi w:val="0"/>
              <w:spacing w:before="0" w:after="283"/>
              <w:jc w:val="left"/>
              <w:rPr/>
            </w:pPr>
            <w:r>
              <w:rPr/>
              <w:t> </w:t>
            </w:r>
          </w:p>
        </w:tc>
        <w:tc>
          <w:tcPr>
            <w:tcW w:w="1582"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(10,297</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(108</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112,263</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7" w:type="dxa"/>
            <w:tcBorders>
              <w:bottom w:val="double" w:sz="10" w:space="0" w:color="000000"/>
            </w:tcBorders>
            <w:shd w:fill="FFFFFF" w:val="clear"/>
            <w:tcMar>
              <w:bottom w:w="28" w:type="dxa"/>
            </w:tcMar>
            <w:vAlign w:val="center"/>
          </w:tcPr>
          <w:p>
            <w:pPr>
              <w:pStyle w:val="TableContents"/>
              <w:bidi w:val="0"/>
              <w:spacing w:before="0" w:after="283"/>
              <w:jc w:val="right"/>
              <w:rPr/>
            </w:pPr>
            <w:r>
              <w:rPr/>
              <w:t>101,858</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10" w:space="0" w:color="000000"/>
            </w:tcBorders>
            <w:shd w:fill="FFFFFF" w:val="clear"/>
            <w:tcMar>
              <w:bottom w:w="28" w:type="dxa"/>
            </w:tcM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year ended December 31, 2025 was $10,297. This amount was primarily driven by (i) net income of $539,524, (ii) non-cash adjustments of $553,996, (iii) net working capital increases of $4,173, and (iv) an increase in other non-current liabilities of $2.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year ended December 31, 2024 was $42. This amount was primarily attributable to (i) net loss of $34 and (ii) net working capital decreases of $12, which is partially offset by (iii) an increase in other non-current liabilities of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for the year ended December 31, 2025 was $108, which was related to the purchases of equipment. There was no net cash from investing activities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$112,263 for the year ended December 31, 2025 was primarily driven by (i) $69,878 of proceeds from Business Combinations, net of transaction costs, (ii) $36,835 of proceeds from PIPE financing, and (iii) $5,690 of proceeds from Bridge Loans. The proceeds were partially offset by $116 of payments to related party loans and $24 of debt issuance cost payments related to Bridge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2024 consisted of proceeds of $112 from an interest-free loan agreement that we entered into with our shareholders on December 18,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Policy: Bridge Financing and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financing activities, we entered into Bridge Loan agreements that include detachable warrants. We also entered into PIPE warrants and advisor warrant agreements. These arrangements require us to evaluate whether certain debt and warrant instruments represent freestanding financial instruments and, where applicable, determine the appropriate classification under ASC 480-10 and ASC 815-40. In addition, we evaluated whether these instruments met the definition of a derivative under ASC 815-10.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certain instruments, including the Bridge Loan Warrants and PIPE Warrants, meet the definition of a derivative, as they include an underlying (our common shares), require no initial net investment, and may be subject to net settlement. In performing this assessment, we considered whether the underlying shares associated with the instruments could be rapidly absorbed into the market, including analysis of trading volume. Other instruments, such as advisor warrants, are not within the scope of ASC 480 or ASC 815 and are classified as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classification of certain warrants is based on the specific contractual terms and the application of relevant accounting guidance, the accounting for the overall bridge financing arrangements involves significant judgment and estimation. In particular, we are required to determine the fair value of the detachable warrants at issuance. Certain warrants are contingently issuable upon the occurrence of specified events; however, such warrants are considered issued for accounting purposes and are recognized at fair value upon inception.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initial carrying value of the bridge loan may differ significantly from the proceeds received, and in certain cases, a loss may be recognized at inception when the fair value of the warrants exceeds the proceeds received.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do not meet all criteria for equity classification are recorded as liabilities at fair value and remeasured at each reporting date, with changes in fair value recognized in earnings. Warrants that meet equity classification criteria (including advisor warrants) are recorded at their initial fair value and recognized as a component of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Policy: Convertible Preferred Shares and Complex Equity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and related arrangements, we issued Convertible Preferred Shares that are contingently convertible into ordinary shares upon the achievement of specified market-based and regulatory milestones; we also issued additional Convertible Preferred Shares to an advisor under similar milestone-based conditions, which are accounted for in accordance with ASC 718, Compensation- Stock Compensation. Determining whether these instruments are classified as equity or as liabilities requires significant judgment, including assessment of (i) whether settlement is fixed or may vary, (ii) the nature of the contingent features, and (iii) whether the instruments meet the scope exceptions in ASC 815 and the equity classification criteria in ASC 480/ASC 815-40. Classification conclusions affect where amounts are presented in the financial statements and whether subsequent remeasurement at fair value is required. Changes in facts and circumstances—such as the resolution of milestones—could require reclassification between equity and liabilities, with a corresponding impact on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Policy: Business Combination Accounting and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October 9, 2025 de-SPAC transaction as a recapitalization, with Terra Innovatum Global Srl. identified as the accounting acquirer and GSR III not meeting the definition of a business under ASC 805. This conclusion required significant judgment and resulted in recognizing the net monetary assets of GSR III at historical carrying amounts with no recognition of goodwill or other intangible assets. Different judgments regarding the existence of a business, the accounting acquirer, or the nature of identifiable assets could have resulted in materially different accounting, including the recognition and measurement of 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Policy: Foreign Currency Translation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across multiple jurisdictions and transact in multiple currencies, including euro-denominated vendor agreements and U.S. dollar reporting. Determining functional currencies for our entities and measuring remeasurement/translation effects involve judgment and can affect the timing and classification of foreign-currency gains and losses in the statement of operations. We recognize transaction gains and losses arising from foreign-currency-denominated balances through earnings. Exchange-rate volatility can materially affect reported operating results, cash flows, and liquidity trends, particularly for engineering services and feasibility programs that are priced in currencies other than the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Estimate: Fair Value Measurements – Level 3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option pricing model valuation techniques that rely on significant unobservable inputs (“</w:t>
      </w: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to measure certain instruments at fair value or to allocate proceeds at initial recognition, including share-settled contingent liabilities and, at issuance, certain equity-linked instruments and warrants. Key inputs include expected volatility, discount rates, equity value, contractual terms, and the probability and timing of milestone achievement. Small changes in these inputs can produce material changes in fair value, impacting earnings (for liabilities) or the allocation of proceeds within equity (for non-remeasured instruments). We evaluate inputs each period with reference to market data, peer benchmarks, and updated operating facts and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Level 3 instruments is most sensitive to assumptions related to expected volatility and the probability and timing of milestone achievement. A higher expected volatility or an increase in the probability of achieving performance or regulatory milestones would generally increase the fair value of these instruments, while lower volatility or delayed milestone achievement would reduce fair value. Because certain of these instruments are classified as liabilities and remeasured at each reporting date, reasonably possible changes in these assumptions could result in material volatility in our reported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holding other assumptions constant, an increase in assumed volatility or milestone probability would have resulted in a higher fair value measurement and a corresponding reduction in net income, while the opposite would have resulted in lower fair value and higher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Critical Accounting Estimate: Fair Value of Warrants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both equity-classified and liability-classified warrants involves significant estimation uncertainty. We use option pricing models that require us to make assumptions about key inputs, including expected volatility, risk-free interest rates, term to expiration, and the fair value of the underlying equity. These inputs are inherently subjective and difficult to predict, and even small changes in any of them can materially affect the resulting fair value. The estimation process is particularly sensitive to market conditions and company-specific developments. We continuously evaluate these assumptions, and changes in inputs or classification could materially affect our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warrants is most sensitive to changes in expected volatility and the fair value of our ordinary shares. A higher assumed volatility or increase in share price would generally increase the fair value of the warrants, while decreases in these inputs would have the opposite effect. Because liability-classified warrants are remeasured through earnings, reasonably possible changes in these assumptions could materially affect our results of operations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Estimate: Share-settled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share-settled contingent liabilities for arrangements in which a variable number of equity instruments are issued with contingent conversion outcomes based on the achievement of specified market-based or regulatory milestones. These instruments are classified as liabilities and measured at fair value because the timing and extent of settlement depend on the occurrence of future events that are not within our control.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these instruments requires significant judgment, including assumptions related to expected equity volatility, discount rates, milestone probabilities, timing of achievement, and future share price outcomes. Fair value is generally estimated using a Monte Carlo simulation model, which incorporates multiple potential settlement scenarios and probability-weighted outcomes. Changes in these assumptions can materially impact fair value and may result in significant period-to-period volatility in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contingent instruments remain outstanding until the underlying conditions are satisfied or expire, actual outcomes may differ from our estimates, resulting in potential variability in future reported results. During 2025, the resolution of certain milestones resulted in a significant reduction in the fair value of this liability, which materially increased net income. If future milestones are achieved earlier or later than expected, or if market conditions lead to significant changes in volatility or share price assumptions, the fair value of the remaining contingent instruments could change materially, resulting in corresponding gains or losses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Estimate: 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PIPE Financing, which consists of Class A ordinary shares and accompanying Half-Warrants and Quarter-Warrants, at fair value on the issuance date in accordance with ASC 820. Because the PIPE units include multiple freestanding financial instruments with different economic characteristics, we allocate the proceeds received by first measuring the warrants at their fair value, with the remaining proceeds allocated to the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warrants provide holders with the right to purchase Class A ordinary shares at fixed exercise prices of $12.00 per share for the Half-Warrants and $16.00 per share for the Quarter-Warrants, subject to standard anti-dilution adjustments. In addition, the warrants include issuer redemption features that permit us to redeem outstanding warrants for nominal consideration if our share price meets specified trading price thresholds for a defined period. These contractual terms significantly affect the fair value of the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PIPE warrants is estimated using valuation techniques that require significant judgment, including Monte Carlo simulation models, which incorporate assumptions related to expected share price volatility, risk-free interest rates, contractual term, redemption features, and simulated future share price paths. These assumptions are classified as Level 3 inputs under the fair value hierarchy.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key valuation inputs, particularly assumptions related to volatility and modeled share price trajectories, can materially affect the estimated fair value of the warrants and the resulting allocation of proceeds between equity and liability-classified instruments. Such changes could have a significant impact on additional paid-in capital and earnings in the period of issuance or subsequent reporting periods. We evaluate the reasonableness of valuation assumptions each reporting period based on observable market data, comparable company volatility metrics, and prevailing trading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4. “Related Party Transactions” of the Notes to our Financial Statements included elsewhere in this Form 10-K for a discussion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 and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“Summary of Significant Accounting Policies” of the Notes to our Financial included elsewhere in this Form 10-K for a discussion of recent accounting standards and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our audited consolidated financial statements begins on page F-1 of this report and is included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and Exchange Act of 1934, as amended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December 31, 2025, our disclosure controls and procedures were not effective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December 31, 2025. In making this assessment, management used the criteria set forth by the Committee of Sponsoring Organizations of the Treadway Commission in the 2013 Internal Control-Integrated Framework (or “</w:t>
      </w:r>
      <w:r>
        <w:rPr>
          <w:rFonts w:ascii="Times New Roman;Times;Serif" w:hAnsi="Times New Roman;Times;Serif"/>
          <w:b/>
          <w:i w:val="false"/>
          <w:caps w:val="false"/>
          <w:smallCaps w:val="false"/>
          <w:sz w:val="20"/>
        </w:rPr>
        <w:t>COSO Framework”</w:t>
      </w:r>
      <w:r>
        <w:rPr>
          <w:rFonts w:ascii="Times New Roman;Times;Serif" w:hAnsi="Times New Roman;Times;Serif"/>
          <w:b w:val="false"/>
          <w:i w:val="false"/>
          <w:caps w:val="false"/>
          <w:smallCaps w:val="false"/>
          <w:sz w:val="20"/>
        </w:rPr>
        <w:t>). Based on its evaluation, management has concluded that we did not maintain effective internal control over financial reporting as of December 31, 2025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S-K Item 308(b), this Annual Report on Form 10-K does not include an attestation report of our company’s registered public accounting firm regarding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 Material Weakness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The lack of sufficient Sarbanes-Oxley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 SEC registrant.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do not have a monitoring program to assess whether internal controls over financial reporting are present and operating effectively on an ongoing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resulted in errors, which were identified and corrected during the audit. These material weaknesses created a reasonable possibility that a material misstatement of our annual or interim financial statements would not have been prevented or detected on a timely basis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 plan to remediate the identified material weaknesses, and we expect to begin implementing these remediation efforts in 2026 and to include the following measures:</w:t>
      </w:r>
    </w:p>
    <w:p>
      <w:pPr>
        <w:pStyle w:val="TextBody"/>
        <w:bidi w:val="0"/>
        <w:spacing w:before="0" w:after="0"/>
        <w:ind w:left="0" w:right="0" w:firstLine="36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designating a Sarbanes-Oxley compliance program owner;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left"/>
              <w:rPr/>
            </w:pPr>
            <w:r>
              <w:rPr/>
              <w:t> </w:t>
            </w:r>
          </w:p>
        </w:tc>
      </w:tr>
    </w:tbl>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engaging external Sarbanes-Oxley advisors to provide training and advisory support;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283"/>
              <w:jc w:val="left"/>
              <w:rPr/>
            </w:pPr>
            <w:r>
              <w:rPr/>
              <w:t> </w:t>
            </w:r>
          </w:p>
        </w:tc>
      </w:tr>
    </w:tbl>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evaluating the need for additional qualified finance headcount;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bl>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establishing audit committee reporting on internal control status;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 a formal de-SPAC transition impact assessment on internal controls, including documenting the gap between current-state controls and SOX requirements as the baseline for the remediation roadmap;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performing a formal fraud risk assessment over financial reporting and reporting the results to the Audit Committee;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developing SOX policies and procedures and control templates;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r>
    </w:tbl>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implementing data validation protocols for all control inputs;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left"/>
              <w:rPr/>
            </w:pPr>
            <w:r>
              <w:rPr/>
              <w:t> </w:t>
            </w:r>
          </w:p>
        </w:tc>
      </w:tr>
    </w:tbl>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obtaining and reviewing SOC-1 reports for key third-party vendors and completing CUEC mapping;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left"/>
              <w:rPr/>
            </w:pPr>
            <w:r>
              <w:rPr/>
              <w:t> </w:t>
            </w:r>
          </w:p>
        </w:tc>
      </w:tr>
    </w:tbl>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scoping and commencing an IT general controls assessment with support from an IT audit specialist.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identification of the material weaknesses above, there were no changes during the quarter ended December 31, 2025, in our internal control over financial reporting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currently composed of seven members, consisting of:</w:t>
      </w:r>
    </w:p>
    <w:p>
      <w:pPr>
        <w:pStyle w:val="TextBody"/>
        <w:bidi w:val="0"/>
        <w:spacing w:before="0" w:after="0"/>
        <w:ind w:left="960" w:right="0" w:hanging="48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Executive Directors; and</w:t>
            </w:r>
          </w:p>
        </w:tc>
      </w:tr>
    </w:tbl>
    <w:p>
      <w:pPr>
        <w:pStyle w:val="TextBody"/>
        <w:bidi w:val="0"/>
        <w:spacing w:before="0" w:after="0"/>
        <w:ind w:left="960" w:right="0" w:hanging="48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Non-Executive Directors.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relating to the persons who serve as executive officers and Executive and Non-Executive Directors of Terra as of the date of this Annual Report.</w:t>
      </w:r>
    </w:p>
    <w:p>
      <w:pPr>
        <w:pStyle w:val="TextBody"/>
        <w:bidi w:val="0"/>
        <w:spacing w:before="0" w:after="0"/>
        <w:ind w:left="0" w:right="0" w:firstLine="360"/>
        <w:jc w:val="left"/>
        <w:rPr>
          <w:caps w:val="false"/>
          <w:smallCaps w:val="false"/>
        </w:rPr>
      </w:pPr>
      <w:r>
        <w:rPr>
          <w:caps w:val="false"/>
          <w:smallCaps w:val="false"/>
        </w:rPr>
        <w:t> </w:t>
      </w:r>
    </w:p>
    <w:tbl>
      <w:tblPr>
        <w:tblW w:w="9735" w:type="dxa"/>
        <w:jc w:val="left"/>
        <w:tblInd w:w="0" w:type="dxa"/>
        <w:tblLayout w:type="fixed"/>
        <w:tblCellMar>
          <w:top w:w="0" w:type="dxa"/>
          <w:left w:w="0" w:type="dxa"/>
          <w:bottom w:w="28" w:type="dxa"/>
          <w:right w:w="0" w:type="dxa"/>
        </w:tblCellMar>
      </w:tblPr>
      <w:tblGrid>
        <w:gridCol w:w="1700"/>
        <w:gridCol w:w="60"/>
        <w:gridCol w:w="350"/>
        <w:gridCol w:w="60"/>
        <w:gridCol w:w="756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7565"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Title</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Alessandro Petruzzi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75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Executive Officer and Executive Director</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Cesare Frepoli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tcMar>
              <w:bottom w:w="0" w:type="dxa"/>
            </w:tcMar>
            <w:vAlign w:val="center"/>
          </w:tcPr>
          <w:p>
            <w:pPr>
              <w:pStyle w:val="TableContents"/>
              <w:bidi w:val="0"/>
              <w:spacing w:before="0" w:after="283"/>
              <w:ind w:left="0" w:right="0" w:hanging="200"/>
              <w:jc w:val="left"/>
              <w:rPr/>
            </w:pPr>
            <w:r>
              <w:rPr/>
              <w:t> </w:t>
            </w:r>
          </w:p>
        </w:tc>
        <w:tc>
          <w:tcPr>
            <w:tcW w:w="7565"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Operating Officer, Director of Licensing and Regulatory Affairs and Executive Director</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Marco Cherubini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75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Technology Officer and Product Director</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Massimo Morichi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tcMar>
              <w:bottom w:w="0" w:type="dxa"/>
            </w:tcMar>
            <w:vAlign w:val="center"/>
          </w:tcPr>
          <w:p>
            <w:pPr>
              <w:pStyle w:val="TableContents"/>
              <w:bidi w:val="0"/>
              <w:spacing w:before="0" w:after="283"/>
              <w:ind w:left="0" w:right="0" w:hanging="200"/>
              <w:jc w:val="left"/>
              <w:rPr/>
            </w:pPr>
            <w:r>
              <w:rPr/>
              <w:t> </w:t>
            </w:r>
          </w:p>
        </w:tc>
        <w:tc>
          <w:tcPr>
            <w:tcW w:w="7565"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Chief Strategy Officer, SOLO Safeguards Director and Executive Director </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Williams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75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Financial Officer and Executive Director</w:t>
            </w:r>
            <w:r>
              <w:rPr>
                <w:rFonts w:ascii="Times New Roman;Times;Serif" w:hAnsi="Times New Roman;Times;Serif"/>
                <w:position w:val="7"/>
                <w:sz w:val="16"/>
                <w:sz w:val="20"/>
              </w:rPr>
              <w:t>1</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Rex S. Jackson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ind w:left="0" w:right="0" w:hanging="200"/>
              <w:jc w:val="left"/>
              <w:rPr/>
            </w:pPr>
            <w:r>
              <w:rPr/>
              <w:t> </w:t>
            </w:r>
          </w:p>
        </w:tc>
        <w:tc>
          <w:tcPr>
            <w:tcW w:w="7565"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Non-Executive Director</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Howard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75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Non-Executive Director and Chairperson of the Board of Directors</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Hastings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tcMar>
              <w:bottom w:w="0" w:type="dxa"/>
            </w:tcMar>
            <w:vAlign w:val="center"/>
          </w:tcPr>
          <w:p>
            <w:pPr>
              <w:pStyle w:val="TableContents"/>
              <w:bidi w:val="0"/>
              <w:spacing w:before="0" w:after="283"/>
              <w:ind w:left="0" w:right="0" w:hanging="200"/>
              <w:jc w:val="left"/>
              <w:rPr/>
            </w:pPr>
            <w:r>
              <w:rPr/>
              <w:t> </w:t>
            </w:r>
          </w:p>
        </w:tc>
        <w:tc>
          <w:tcPr>
            <w:tcW w:w="75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Non-Executive Director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March 29, 2026, Ms. Williams was designated as Executive Director and Chief Financial Officer (CFO) of the Company. Ms. Williams has yet to be officially appointed as Executive Director and CFO during the 2026 annual general meeting.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Biographies of Executive Officers and Directors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brief accounts of the business experience during at least the past five years of each executive officer and Director of Terra.</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Alessandro Petruzzi, Ph.D.,</w:t>
      </w:r>
      <w:r>
        <w:rPr>
          <w:rFonts w:ascii="Times New Roman;Times;Serif" w:hAnsi="Times New Roman;Times;Serif"/>
          <w:b w:val="false"/>
          <w:i w:val="false"/>
          <w:caps w:val="false"/>
          <w:smallCaps w:val="false"/>
          <w:sz w:val="20"/>
        </w:rPr>
        <w:t xml:space="preserve"> is a Co-Founder of Terra Innovatum S.R.L. and has served as President since its inception. He is Chief Executive Officer (CEO) of Terra and Executive Director since October 2025. He also founded Nuclear and Industrial Engineering, S.R.L. (NINE), a company that provides safety assessment services in the framework of licensing applications worldwide. He serves as Chair of the OECD/NEA Expert Group on Reactor Core Thermal-Hydraulics (EGTHM) and is an Industry Professor at McMaster University, Canada. He has managed international safety and licensing projects for nuclear facilities in Argentina, the UK, Finland, Brazil and Poland, including leading the safety accident analysis for Atucha-2 NPP for the Argentinean utility, the Hanikhivhi NPP for the Finnish utility and recently the independent safety analysis of the entire Final Safety Analysis Report of Westinghouse AP1000 for the Polish utility. He has contributed as an expert to IAEA safety review and training programs and is the scientific investigator for NINE on several IAEA research projects. He has co-authored numerous scientific publications and the IAEA SSG-2 guidance. He has also organized major conferences such as NURETH 15, BEPU2018, and BEPU2024. Alessandro earned his PhD in Nuclear and Industrial Safety from the “Leonardo da Vinci” Doctoral Engineering School in 2008, following over nine years with the Nuclear Research Group of San Piero a Grado (GRNSPG), University of Pisa.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Marco Cherubini</w:t>
      </w:r>
      <w:r>
        <w:rPr>
          <w:rFonts w:ascii="Times New Roman;Times;Serif" w:hAnsi="Times New Roman;Times;Serif"/>
          <w:b w:val="false"/>
          <w:i w:val="false"/>
          <w:caps w:val="false"/>
          <w:smallCaps w:val="false"/>
          <w:sz w:val="20"/>
        </w:rPr>
        <w:t xml:space="preserve"> is a Co-Founder of Terra Innovatum S.R.L., who has served as Chief Technology Officer and SOLO Product Director since December 2021. Prior to joining Terra, Dr. Cherubini was a Co-Founder and board member at Nuclear and Industrial Engineering S.R.L. (NINE), a leading engineering firm in nuclear safety, serving as Vice-President and Head of the Core Behavior Area, and supporting major projects in Australia, Argentina, Finland, Norway, and France, from July 2011. Dr. Cherubini has played a key role in emergency preparedness for nuclear-propelled vessels and in the licensing of advanced reactors globally. Dr. Cherubini holds an M.S. in Nuclear Engineering and Ph.D. Nuclear and Industrial Safety from the University of Pisa.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Cesare Frepoli </w:t>
      </w:r>
      <w:r>
        <w:rPr>
          <w:rFonts w:ascii="Times New Roman;Times;Serif" w:hAnsi="Times New Roman;Times;Serif"/>
          <w:b w:val="false"/>
          <w:i w:val="false"/>
          <w:caps w:val="false"/>
          <w:smallCaps w:val="false"/>
          <w:sz w:val="20"/>
        </w:rPr>
        <w:t>has served as Co-Founder, Chief Operating Officer, and Director of Licensing and Regulatory Affairs at Terra since September 2021, and as Executive Director since October 2025. He has over 30 years of experience in nuclear engineering, specializing in safety analysis, regulatory strategy, and advanced simulation technologies. Dr. Frepoli serves as President and Chief Executive Officer of FPoliSolutions, a firm providing risk-informed safety analysis and regulatory support to nuclear and green energy sectors, from July 2013 to September 2021. Prior to that, Dr. Frepoli worked at Westinghouse Electric Company, a supplier of nuclear technology, where he served as an advisor and engineer from September 2001 to July 2013, receiving multiple George Westinghouse awards recognizing his leadership and innovation. Cesare holds a Ph.D. in Nuclear Engineering from Penn State University and a Master’s from Politecnico di Milano.</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Massimo Morichi</w:t>
      </w:r>
      <w:r>
        <w:rPr>
          <w:rFonts w:ascii="Times New Roman;Times;Serif" w:hAnsi="Times New Roman;Times;Serif"/>
          <w:b w:val="false"/>
          <w:i w:val="false"/>
          <w:caps w:val="false"/>
          <w:smallCaps w:val="false"/>
          <w:sz w:val="20"/>
        </w:rPr>
        <w:t xml:space="preserve"> has served as Partner, Chief Strategy Officer, and SOLO Safeguards Director at Terra, since April 2025, and as an Executive Director since October 2025. Dr. Massimo is also currently a member of the Board of CAEN SpA Group and a professor at Aix-Marseille University and lecturer at University of PISA and UNICAM. Between 2016 and 2025, he held executive management roles and served on the Board of CAEN SpA Group. Between 2005 and 2016, he held senior executive roles including EVP Director Global R&amp;D and Innovation at AREVA Group, a French multination group specializing in nuclear power, VP R&amp;D CTO at CANBERRA Industries (U.S.), and Group Leader for major site remediation project in Japan. Dr. Morichi has led the development of over 65 nuclear measurement solutions, advanced safeguards systems for the IAEA, and directed the EU MICADO project for nuclear waste characterization. He is lecturer at universities in France and Italy. He holds an M.S. and PhD in Nuclear Physics from the University “La Sapienza” of Rome, a B.S. in Nuclear Engineering from IT IS Enrico Fermi ROMA, and is a Certified Radiation Protection Expert.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Katherine Williams</w:t>
      </w:r>
      <w:r>
        <w:rPr>
          <w:rFonts w:ascii="Times New Roman;Times;Serif" w:hAnsi="Times New Roman;Times;Serif"/>
          <w:b w:val="false"/>
          <w:i w:val="false"/>
          <w:caps w:val="false"/>
          <w:smallCaps w:val="false"/>
          <w:sz w:val="20"/>
        </w:rPr>
        <w:t xml:space="preserve"> has served as Executive Director and Chief Financial Officer (CFO) of Terra since March 2026. Previously, Ms. Williams served as a Non-Executive Director and Chairperson of the Board of Directors from October 2025 until March 2026. As of March 29, 2026, Ms. Williams was designated as Executive Director and Chief Financial Officer (CFO) of the Company. Ms. Williams has yet to be officially appointed as Executive Director and CFO during the 2026 annual general meeting. Since April 2025, Ms. Williams has served as CFO of Solestiss LLC, an energy developer and consultancy specializing in the nuclear and renewable energy sectors. Prior to Solestiss, from February 2002 to May 2024, Ms. Williams served as CEO and CFO of Framatome Inc., a global nuclear engineering and technology company that designs, builds, maintains, and services nuclear steam supply systems (NSSS) and equipment for nuclear power plants. Ms. Williams holds a B.S. from the College of Charleston and her MBA from the University of Pittsburgh.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Rex S. Jackson</w:t>
      </w:r>
      <w:r>
        <w:rPr>
          <w:rFonts w:ascii="Times New Roman;Times;Serif" w:hAnsi="Times New Roman;Times;Serif"/>
          <w:b w:val="false"/>
          <w:i w:val="false"/>
          <w:caps w:val="false"/>
          <w:smallCaps w:val="false"/>
          <w:sz w:val="20"/>
        </w:rPr>
        <w:t xml:space="preserve"> has served as a Non-Executive Director of Terra since October 2025. From May 2018 until November 2023, Mr. Jackson served as CFO of ChargePoint Inc. (NYSE: CHPT), a publicly-traded provider of charging solutions for electric vehicles. Mr. Jackson previously served as CFO of Gigamon Inc. (GIMO), a developer of network and security visibility solutions, from October 2016 until April 2018 after the completion of the Company’s going private transaction, and as CFO of Rocket Fuel Inc. (FUEL), an advertising technology company, from March 2016 to October 2016. Mr. Jackson served on the board of directors of EMCORE Corporation (EMKR) from 2015 to 2024, and of Energous Corporation (WATT), a company that develops wireless charging technology, from 2014 until 2019. Mr. Jackson also served as CFO of JDS Uniphase Corporation (JDSU), a provider of network and service enablement solutions and optical products for telecommunications service providers, cable operators, and network equipment manufacturers, from January 2013 through September 2015, where he drove the separation of JDSU into two independent public companies in August 2015. Mr. Jackson joined JDSU in January 2011 as Senior Vice President, Business Services, with responsibility for corporate development, legal, corporate marketing and information technology. From 2007 to 2010, Mr. Jackson served as CFO of Symyx Technologies, Inc. (SMMX), a provider of informatics and automation products, where he led the Company’s acquisition of MDL Information Systems, Inc. and subsequent merger of equals with another public company. Mr. Jackson also previously served as acting CFO at Synopsys, Inc. (SNPS), a provider of electronic design automation software and services, and held executive positions with Avago Technologies Limited (now Broadcom Inc. (AVGO)), a provider of analog semiconductor devices, AdForce, Inc. (ADFC) and Read-Rite Corporation (RDRT). Mr. Jackson holds a B.A. from Duke University and earned his J.D. from Stanford University Law School. Mr. Jackson’s accounting and financial expertise, general business acumen, extensive knowledge of a range of technologies and significant executive leadership experience were the primary qualifications that the Board of Directors considered in concluding that he should serve as a director of Terra.</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W. Howard</w:t>
      </w:r>
      <w:r>
        <w:rPr>
          <w:rFonts w:ascii="Times New Roman;Times;Serif" w:hAnsi="Times New Roman;Times;Serif"/>
          <w:b w:val="false"/>
          <w:i w:val="false"/>
          <w:caps w:val="false"/>
          <w:smallCaps w:val="false"/>
          <w:sz w:val="20"/>
        </w:rPr>
        <w:t xml:space="preserve"> has been a Non-Executive Director of Terra since October 2025. As of March 29, 2026, Mr. Howard serves as Chairperson of the Board of Directors. From 1999 to 2020, Dr. Howard held several leadership positions within EPRI, a global organization headquartered in Palo Alto, California, with several offices across the U.S. and internationally. Dr. Howard led EPRI in developing technological innovations related to electricity production, delivery, and consumption, including advancements in nuclear power, renewable energy, energy storage, and electric vehicles. In 2010, the EPRI Board of Directors appointed Dr. Howard as President and CEO of EPRI, a role he held until his retirement at the end of 2020. He was then honored with the title of CEO Emeritus by the Board. From 1996 to 1999, Dr. Howard was the President and CEO of PEAC, a technology-driven power electronics company that offered power quality solutions to large industrial customers and electric utility companies, which was acquired by EPRI in 1999. In 1990, Dr. Howard co-founded Scientific Imaging Solutions, a technology company specializing in advanced image processing systems for automated microscopic material and biological image analysis, which merged with an affiliated firm in Pittsburgh in 1992. From 1992 to 1999, Dr. Howard joined a venture capital firm that provided equity and debt investment to early-stage tech companies while serving as an adjunct professor at the University of Tennessee, where he taught various master’s and Ph.D. courses in Industrial and Systems Engineering. Dr. Howard earned his B.S. in Electrical Engineering from the University of Tennessee, his M.S. in Business and Engineering from the University of Pittsburgh, and his Ph.D. from the University of Tennessee’s College of Engineering, focusing his dissertation on advanced artificial intelligence. Dr. Howard also attended the Reactor Technology Course for Utility Executives co-sponsored by the Massachusetts Institute of Technology (MIT) and the Institute for Nuclear Power Operations (INPO). Dr. Howard is also a member of the Carnegie Mellon University Scott Institute advisory council and Chair Emeritus of the World Energy Council in London, England. Dr. Howard’s extensive experience in the energy sector, especially the electricity sector were the primary qualifications that the Board of Directors considered in concluding that he should serve as a director of Terra.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Hastings has been a Non-Executive Director of Terra since October 2025. Mr. Hastings is also a Senior Fellow for the Nuclear Innovation Alliance, a Washington, DC-based, non-profit, non-partisan, think tank focused on catalyzing the next era of nuclear energy. He also consults with numerous nuclear energy clients through The Hastings Group, LLC, a management and regulatory advisory firm. From March 2018 to October 2025, Mr. Hastings was employed at Kairos Power LLC, a small modular reactor developer, where he served as Vice President of Regulatory, Quality, and Public Affairs, leading teams responsible for Kairos licensing and permitting activities, siting, reliability engineering, quality assurance, nuclear safeguards and security, internal and external communications and community engagement, and government relations Prior to joining Kairos, Mr. Hastings founded The Hastings Group and consulted with the Electric Power Research Institute, the Nuclear Energy Institute, the Nuclear Innovation Alliance, the Tennessee Valley Authority, Southern Company, and several advanced reactor developers on the regulatory framework for advanced reactors, the risk-informed “Licensing Modernization” project, source term development, and risk-informed emergency planning. He also held previous positions with Generation mPower, Duke Energy, and NuStart Energy Development. Mr. Hastings is a former member of several prominent nuclear energy industry institutes and councils, including the US Nuclear Industry Council and was Chairman of its Advanced Reactor Working Group, Chair of the Nuclear Energy Institute’s Advanced Reactor Regulatory Working Group, Vice Chair of the World Nuclear Association’s CORDEL Working Group and Chair of its Small Modular Reactor Task Force, Chair of the US High-Temperature Reactor Technology Working Group, and appointed member of the US Chamber of Commerce Civil Nuclear Trade Advisory Committee, as well as a member of numerous industry steering committees. Mr. Hastings earned his B.S. in nuclear engineering from NC State University and is a registered Professional Engineer in North and South Carolina. Mr. Hastings’ extensive experience in the nuclear energy sector was the primary qualification that the Board of Directors considered in concluding that he should serve as a director of Terra.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Family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Business Officer, Giordano Morichi, is the son of our Chief Executive Officer, Massimo Morichi. Other than this, there are no other family relationships between or among any of the persons who will serve as directors or executive officers of Terra.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Dutch Corporate Governance Code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Terra qualifies as a listed Dutch public limited liability company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Terra is subject to the Dutch Corporate Governance Code (the “</w:t>
      </w:r>
      <w:r>
        <w:rPr>
          <w:rFonts w:ascii="Times New Roman;Times;Serif" w:hAnsi="Times New Roman;Times;Serif"/>
          <w:b/>
          <w:i/>
          <w:caps w:val="false"/>
          <w:smallCaps w:val="false"/>
          <w:sz w:val="20"/>
        </w:rPr>
        <w:t>DCGC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DCGC contains both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Terra is required to disclose in its statutory board report, filed in the Netherlands, whether it complies with the provisions of the DCGC. If Terra does not comply with these provisions, Terra is required to give the reasons for such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 and Director and Officer Qualifications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has not formally established any specific, minimum qualifications that must be met by each of its directors. However, Terra generally evaluates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Terra’s business, integrity, professional reputation, independence, wisdom, and ability to represent the best interests of Terra’s shareholders.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from the moment Terra qualifies as a so-called “large company” under Dutch law, it will be subject to the gender diversity target regime. Under this target regime Terra would have to set appropriate and ambitious targets — which should take the form of target ratios — to bring about a more balanced ratio of men to women with regard to its directors. A Dutch company qualifies as large, if it meets at least two of the following three criteria on at least two successive balance sheet dates: (a) the value of the total assets (based on its balance sheet and explanatory notes) on the basis of historical cost (acquisition and production cost) exceeds EUR 25 million, (b) the net turnover for the financial year exceeds EUR 50 million and (c) the average number of employees is 250 or more.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of Directors has adopted policies regarding director qualification requirements (including a diversity policy) and the process for identifying and evaluating director candidates for adoption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Regulations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has adopted written rules and regulations dealing with,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its internal organization, the manner in which decisions are taken, any quorum requirements, the composition, duties and organization of its committees and any other matters concerning the Board of Directors, the executive directors, the non-executive directors and committees established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last fiscal year, each of our directors attended at least 75% of the aggregate of (i) the total number of Board meetings and (ii) the total number of meetings of the committees on which the director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Terra Ordinary Shares were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Remuneration committee members must also satisfy the additional independence criteria set forth in Rule 10C-1 under the Exchange Act and the rules of Nasdaq. Due to the resignation of one of its independent Non-Executive Directors on November 7, 2025 for personal reasons and following the appointment of Ms. Williams as the Company’s Chief Financial Officer, Terra currently is not in compliance with the majority independent board requirement but will resolve the noncompliance through the addition of a new independent Non-Executive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(a) accept, directly or indirectly, any consulting, advisory, or other compensatory fee from the listed company or any of its subsidiaries; or (b) be an affiliated person of the listed company or any of its subsidiaries.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independent for purposes of Rule 10C-1 under the Exchange Act and under the rules of Nasdaq, the board of directors must affirmatively determine that the member of the remuneration committee is independent, including a consideration of all factors specifically relevant to determining whether the director has a relationship to the Company which is material to that director’s ability to be independent from management in connection with the duties of a remuneration committee member, including, but not limited to:</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20"/>
              </w:rPr>
            </w:pPr>
            <w:r>
              <w:rPr>
                <w:sz w:val="20"/>
              </w:rPr>
              <w:t>(i)</w:t>
            </w:r>
          </w:p>
        </w:tc>
        <w:tc>
          <w:tcPr>
            <w:tcW w:w="9943" w:type="dxa"/>
            <w:tcBorders/>
            <w:vAlign w:val="center"/>
          </w:tcPr>
          <w:p>
            <w:pPr>
              <w:pStyle w:val="TableContents"/>
              <w:bidi w:val="0"/>
              <w:spacing w:before="0" w:after="283"/>
              <w:jc w:val="left"/>
              <w:rPr>
                <w:sz w:val="20"/>
              </w:rPr>
            </w:pPr>
            <w:r>
              <w:rPr>
                <w:sz w:val="20"/>
              </w:rPr>
              <w:t>the source of compensation of such director, including any consulting, advisory or other compensatory fee paid by the Company to such director;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20"/>
              </w:rPr>
            </w:pPr>
            <w:r>
              <w:rPr>
                <w:sz w:val="20"/>
              </w:rPr>
              <w:t>(ii)</w:t>
            </w:r>
          </w:p>
        </w:tc>
        <w:tc>
          <w:tcPr>
            <w:tcW w:w="9874" w:type="dxa"/>
            <w:tcBorders/>
            <w:vAlign w:val="center"/>
          </w:tcPr>
          <w:p>
            <w:pPr>
              <w:pStyle w:val="TableContents"/>
              <w:bidi w:val="0"/>
              <w:spacing w:before="0" w:after="283"/>
              <w:jc w:val="left"/>
              <w:rPr>
                <w:sz w:val="20"/>
              </w:rPr>
            </w:pPr>
            <w:r>
              <w:rPr>
                <w:sz w:val="20"/>
              </w:rPr>
              <w:t>whether such director is affiliated with the Company, a Subsidiary of the Company or an affiliate of a Subsidiary of the Company.</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undertaken a review of the independence of each Director and considered whether each Director of Terra has a material relationship with Terra that could compromise his or her ability to exercise independent judgment in carrying out his or her responsibilities. Rex Jackson, Michael Howard and Peter Hastings are considered “independent directors” as defined under the listing requirements and rules of Nasdaq and the applicable rules of the Exchange Act.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certain provisions regarding the independency of non-executive directors apply based on the DCGC. The composition of the non-executive directors is such that the members are able to operate independently and critically </w:t>
      </w:r>
      <w:r>
        <w:rPr>
          <w:rFonts w:ascii="Times New Roman;Times;Serif" w:hAnsi="Times New Roman;Times;Serif"/>
          <w:b w:val="false"/>
          <w:i/>
          <w:caps w:val="false"/>
          <w:smallCaps w:val="false"/>
          <w:sz w:val="20"/>
        </w:rPr>
        <w:t>vis-à-vis</w:t>
      </w:r>
      <w:r>
        <w:rPr>
          <w:rFonts w:ascii="Times New Roman;Times;Serif" w:hAnsi="Times New Roman;Times;Serif"/>
          <w:b w:val="false"/>
          <w:i w:val="false"/>
          <w:caps w:val="false"/>
          <w:smallCaps w:val="false"/>
          <w:sz w:val="20"/>
        </w:rPr>
        <w:t xml:space="preserve"> one another, the executive directors and any particular interests involved. The composition of the non-executive directors should be such that they are able to operate independently and critically </w:t>
      </w:r>
      <w:r>
        <w:rPr>
          <w:rFonts w:ascii="Times New Roman;Times;Serif" w:hAnsi="Times New Roman;Times;Serif"/>
          <w:b w:val="false"/>
          <w:i/>
          <w:caps w:val="false"/>
          <w:smallCaps w:val="false"/>
          <w:sz w:val="20"/>
        </w:rPr>
        <w:t>vis-à-vis</w:t>
      </w:r>
      <w:r>
        <w:rPr>
          <w:rFonts w:ascii="Times New Roman;Times;Serif" w:hAnsi="Times New Roman;Times;Serif"/>
          <w:b w:val="false"/>
          <w:i w:val="false"/>
          <w:caps w:val="false"/>
          <w:smallCaps w:val="false"/>
          <w:sz w:val="20"/>
        </w:rPr>
        <w:t xml:space="preserve"> one another, the executive directors and any particular interests involved. In order to safeguard the independence of the non-executive directors, certain independency criteria apply, being in any case that the DCGC stipulates that a majority of the non-executive directors should be independent within the meaning of the DCGC and that for each shareholder or group of affiliated shareholders directly or indirectly holding more than 10 per cent of the shares in Terra, there is at most one executive director who can be considered to be affiliated with or representing them in conformity with the independence rules as included in the DCGC.</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Chairperson of the Board of Directors should not be a former executive director and should be independent within the meaning of the DCGC.</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Terra’s Non-Executive Directors, qualify as independent within the meaning of the DCGC.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Committees of the Board of Directors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standing committees of the Board of Directors consist of an audit committee (the “</w:t>
      </w:r>
      <w:r>
        <w:rPr>
          <w:rFonts w:ascii="Times New Roman;Times;Serif" w:hAnsi="Times New Roman;Times;Serif"/>
          <w:b/>
          <w:i/>
          <w:caps w:val="false"/>
          <w:smallCaps w:val="false"/>
          <w:sz w:val="20"/>
        </w:rPr>
        <w:t>Audit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remuneration committee (the “</w:t>
      </w:r>
      <w:r>
        <w:rPr>
          <w:rFonts w:ascii="Times New Roman;Times;Serif" w:hAnsi="Times New Roman;Times;Serif"/>
          <w:b/>
          <w:i/>
          <w:caps w:val="false"/>
          <w:smallCaps w:val="false"/>
          <w:sz w:val="20"/>
        </w:rPr>
        <w:t>Remuneration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a nominating and corporate governance committee (the “</w:t>
      </w:r>
      <w:r>
        <w:rPr>
          <w:rFonts w:ascii="Times New Roman;Times;Serif" w:hAnsi="Times New Roman;Times;Serif"/>
          <w:b/>
          <w:i/>
          <w:caps w:val="false"/>
          <w:smallCaps w:val="false"/>
          <w:sz w:val="20"/>
        </w:rPr>
        <w:t>Nominating and Corporate Governance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responsibilities and composition of each committee following the Business Combination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been established in accordance with Section 3(a)(58)(A) of the Exchange Act. Due to the resignation of one of its independent directors on November 7, 2025 for personal reasons, the Audit Committee currently consists of three Directors, each of whom is a Non-Executive Director of the Board of Directors and an independent director as well as “financially literate” as defined under the Nasdaq listing standards. The members of the Audit Committee are Rex Jackson (Chair), Michael Howard, and Peter Hastings.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Audit Committee is to prepare the audit committee report required by the SEC to be included in Terra’s proxy statement and to assist the Board of Directors to (A) oversee: (i) accounting and financial reporting processes and the audits of the financial statements of Terra; (ii) the integrity of Terra’s financial statements; (iii) Terra’s processes relating to risk management and the conduct and systems of internal control over financial reporting and disclosure controls and procedures; (iv) the qualifications, engagement, compensation, independence and performance of Terra’s independent auditor, and the auditor’s conduct of the annual audit of the Terra’s financial statements and any other services provided to Terra; and (v) the performance of Terra’s internal audit function, if any; and (B) produce the annual report of the Audit Committee required by the rules of the SEC.</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Audit Committee operates pursuant to a written charter for the Audit Committee which is available on Terra’s website.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Committee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Remuneration Committee consists of at least two Directors, each of whom is a Non-Executive Director of the Board of Directors and an independent director under Nasdaq’s listing standards. The members of the Remuneration Committee are Michael Howard (Chair) and Peter Hastings.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Remuneration Committee is to assist the Board of Directors to (A) carry out the Board of Directors’ overall responsibility relating to organizational strength and executive compensation; (B) assist the Board of Directors in overseeing Terra’s employee compensation policies and practices, including (i) determining and approving the compensation of Terra’s Chief Executive Officer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and Terra’s other executive officers, and (ii) reviewing and approving incentive compensation and equity compensation policies and programs, and exercising discretion in the administration of such programs; and (C) produce the annual report of the Remuneration Committee required by the rules of the SEC.</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operates pursuant to a written charter for the Remuneration Committee which is available on Terra’s website.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 of two Directors, each of whom is a Non-Executive Director of the Board of Directors and an independent Director under Nasdaq’s listing standards. The Nominating and Corporate Governance Committee is responsible for overseeing the selection of persons to be nominated to serve on the Board of Directors. The members of the Nominating and Corporate Governance Committee are Peter Hastings (Chair) and Michael Howard.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Nominating and Corporate Governance Committee is to assist the Board of Directors to (i) identify and screen individuals qualified to serve as directors and recommend to the Board of Directors candidates for nomination for election at the annual meeting of shareholders or to fill Board of Directors vacancies; (ii) develop, recommend to the Board of Directors and review Terra’s Corporate Governance Guidelines; (iii) coordinate and oversee self-evaluations of the Board of Directors, its committees, individual directors and management in the governance of Terra; (iv) review and approve, if appropriate, any related person transactions and other potential significant conflicts of interest; and (v) review on a regular basis the overall corporate governance of Terra and recommend improvements for approval by the Board of Directors where appropriate.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operates pursuant to a written charter for the Nominating and Corporate Governance Committee is available on Terra’s website.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Code of Ethics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that applies to all of our Directors, officers and employees, including its principal executive officer, principal financial officer and principal accounting officer. Our code of business conduct is a “code of ethics,” as defined in Item 406(b) of Regulation S-K. Please note that our Internet website address is provided as an inactive textual reference only. Terra will make any legally required disclosures regarding amendments to, or waivers of, provisions of its code of ethics on its website.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Insider Trading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Terra.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with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and other interested parties may communicate with our Board of Directors by sending written communication in an envelope addressed to “Board of Directors” in care of the Secretary, Via Matteo Trenta 117, Lucca, Italy 55100.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Summary Compensation Table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following table sets forth certain compensation information for our Chief Executive Officer and each of the two most highly compensated officers (other than the Chief Executive Officer).</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7"/>
        <w:gridCol w:w="60"/>
        <w:gridCol w:w="60"/>
        <w:gridCol w:w="500"/>
        <w:gridCol w:w="60"/>
        <w:gridCol w:w="60"/>
        <w:gridCol w:w="140"/>
        <w:gridCol w:w="800"/>
        <w:gridCol w:w="60"/>
        <w:gridCol w:w="60"/>
        <w:gridCol w:w="140"/>
        <w:gridCol w:w="800"/>
        <w:gridCol w:w="60"/>
        <w:gridCol w:w="60"/>
        <w:gridCol w:w="124"/>
        <w:gridCol w:w="1074"/>
        <w:gridCol w:w="60"/>
        <w:gridCol w:w="60"/>
        <w:gridCol w:w="119"/>
        <w:gridCol w:w="1013"/>
        <w:gridCol w:w="60"/>
        <w:gridCol w:w="60"/>
        <w:gridCol w:w="178"/>
        <w:gridCol w:w="1962"/>
        <w:gridCol w:w="60"/>
        <w:gridCol w:w="60"/>
        <w:gridCol w:w="140"/>
        <w:gridCol w:w="800"/>
        <w:gridCol w:w="78"/>
      </w:tblGrid>
      <w:tr>
        <w:trPr/>
        <w:tc>
          <w:tcPr>
            <w:tcW w:w="1497"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gridSpan w:val="2"/>
            <w:tcBorders>
              <w:bottom w:val="single" w:sz="12"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2" w:type="dxa"/>
            <w:gridSpan w:val="2"/>
            <w:tcBorders>
              <w:bottom w:val="single" w:sz="12"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0"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8" w:type="dxa"/>
            <w:tcBorders/>
            <w:tcMar>
              <w:bottom w:w="0" w:type="dxa"/>
            </w:tcMar>
            <w:vAlign w:val="center"/>
          </w:tcPr>
          <w:p>
            <w:pPr>
              <w:pStyle w:val="TableContents"/>
              <w:bidi w:val="0"/>
              <w:spacing w:before="0" w:after="283"/>
              <w:jc w:val="left"/>
              <w:rPr/>
            </w:pPr>
            <w:r>
              <w:rPr/>
              <w:t> </w:t>
            </w:r>
          </w:p>
        </w:tc>
      </w:tr>
      <w:tr>
        <w:trPr/>
        <w:tc>
          <w:tcPr>
            <w:tcW w:w="1497" w:type="dxa"/>
            <w:tcBorders/>
            <w:shd w:fill="CCEEFF" w:val="clear"/>
            <w:tcMar>
              <w:bottom w:w="0" w:type="dxa"/>
            </w:tcMar>
            <w:vAlign w:val="center"/>
          </w:tcPr>
          <w:p>
            <w:pPr>
              <w:pStyle w:val="TableContents"/>
              <w:bidi w:val="0"/>
              <w:spacing w:before="0" w:after="283"/>
              <w:jc w:val="left"/>
              <w:rPr/>
            </w:pPr>
            <w:r>
              <w:rPr/>
              <w:t>Alessandro Petruzzi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271,407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475,154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497" w:type="dxa"/>
            <w:tcBorders/>
            <w:shd w:fill="FFFFFF" w:val="clear"/>
            <w:tcMar>
              <w:bottom w:w="0" w:type="dxa"/>
            </w:tcMar>
            <w:vAlign w:val="center"/>
          </w:tcPr>
          <w:p>
            <w:pPr>
              <w:pStyle w:val="TableContents"/>
              <w:bidi w:val="0"/>
              <w:spacing w:before="0" w:after="283"/>
              <w:jc w:val="left"/>
              <w:rPr/>
            </w:pPr>
            <w:r>
              <w:rPr/>
              <w:t>Marco Cherubini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184,861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252,020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436,881</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497" w:type="dxa"/>
            <w:tcBorders/>
            <w:shd w:fill="CCEEFF" w:val="clear"/>
            <w:tcMar>
              <w:bottom w:w="0" w:type="dxa"/>
            </w:tcMar>
            <w:vAlign w:val="center"/>
          </w:tcPr>
          <w:p>
            <w:pPr>
              <w:pStyle w:val="TableContents"/>
              <w:bidi w:val="0"/>
              <w:spacing w:before="0" w:after="283"/>
              <w:jc w:val="left"/>
              <w:rPr/>
            </w:pPr>
            <w:r>
              <w:rPr/>
              <w:t>Cesare Frepoli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184,861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221,165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406,026</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reflected in USD. For amounts paid in Euros, conversion was done at 1.13019 USD per Euro. The conversion ratio was based on the weighted average for fiscal year ended December 31, 2025.</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Perquisites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Perquisites have not yet been established and therefore are not included in the figures above. The Remuneration Committee will determine any perquisites for the named executive officers based upon their services to be rendered. Such benefits to be paid by Terra may include company cars, medical insurance, accident insurance, tax preparation and financial counselling.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Awards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has adopted an Equity Incentive Plan under which several types of awards are available for issuance. Under the Equity Incentive Plan, NEOs receive 80% of their annual awards in Performance Share Units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and 20% of their annual awards in Retention Restricted Share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A PSU is a conditional right to receive Terra Ordinary Shares in the capital of Terra based on specific performance targets. For each vested PSU the holder is entitled to receive one Terra Ordinary Share. Each RSU represents the right to receive one Terra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Employment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outlines the material terms of our employment agreements with the NEOs, in addition to the compensation set forth above, pending approval by the Remuneration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Directorship Agreement with Mr. Alessandro Petruzzi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Alessandro Petruzzi was appointed as our Chief Executive Officer and an executive director on our Board of Directors. Mr. Petruzzi’s directorship agreement does not constitute a contract of employment within the meaning of Section 7:610 et seq. of the Dutch Civil Code. Mr. Petruzzi’s directorship agreement provides for his fixed compensation, discretionary annual bonus opportunity, certain equity incentive awards (as detailed in the applicable individual award agreements), and certain benefits including a company car (or cash allowance in lieu), mobile phone and laptop, medical expense and accident insurance, D&amp;O insurance, and tax preparation and financial counselling capped at €15,000 gross per year. Mr. Petruzzi’s office runs until after the close of the 2026 annual general meeting and is renewable year by year thereafter, with either party authorized to terminate upon six months’ written notice. The details of Mr. Petruzzi’s compensation for the fiscal year ended December 31, 2025 are included above in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directorship agreement, in the event Mr. Petruzzi is terminated as a “Good Leaver” (i.e., the Company revokes or does not renew his appointment without “</w:t>
      </w:r>
      <w:r>
        <w:rPr>
          <w:rFonts w:ascii="Times New Roman;Times;Serif" w:hAnsi="Times New Roman;Times;Serif"/>
          <w:b/>
          <w:i w:val="false"/>
          <w:caps w:val="false"/>
          <w:smallCaps w:val="false"/>
          <w:sz w:val="20"/>
        </w:rPr>
        <w:t>just cause of removal,”</w:t>
      </w:r>
      <w:r>
        <w:rPr>
          <w:rFonts w:ascii="Times New Roman;Times;Serif" w:hAnsi="Times New Roman;Times;Serif"/>
          <w:b w:val="false"/>
          <w:i w:val="false"/>
          <w:caps w:val="false"/>
          <w:smallCaps w:val="false"/>
          <w:sz w:val="20"/>
        </w:rPr>
        <w:t xml:space="preserve"> or Mr. Petruzzi resigns for “</w:t>
      </w:r>
      <w:r>
        <w:rPr>
          <w:rFonts w:ascii="Times New Roman;Times;Serif" w:hAnsi="Times New Roman;Times;Serif"/>
          <w:b/>
          <w:i w:val="false"/>
          <w:caps w:val="false"/>
          <w:smallCaps w:val="false"/>
          <w:sz w:val="20"/>
        </w:rPr>
        <w:t>just cause of resignation,”</w:t>
      </w:r>
      <w:r>
        <w:rPr>
          <w:rFonts w:ascii="Times New Roman;Times;Serif" w:hAnsi="Times New Roman;Times;Serif"/>
          <w:b w:val="false"/>
          <w:i w:val="false"/>
          <w:caps w:val="false"/>
          <w:smallCaps w:val="false"/>
          <w:sz w:val="20"/>
        </w:rPr>
        <w:t xml:space="preserve"> or in the event of death or severe disability, as such terms are defined in his directorship agreement), Mr. Petruzzi will, subject to his execution of a settlement and release agreement (the “</w:t>
      </w:r>
      <w:r>
        <w:rPr>
          <w:rFonts w:ascii="Times New Roman;Times;Serif" w:hAnsi="Times New Roman;Times;Serif"/>
          <w:b/>
          <w:i w:val="false"/>
          <w:caps w:val="false"/>
          <w:smallCaps w:val="false"/>
          <w:sz w:val="20"/>
        </w:rPr>
        <w:t>Settlement Agreement”</w:t>
      </w:r>
      <w:r>
        <w:rPr>
          <w:rFonts w:ascii="Times New Roman;Times;Serif" w:hAnsi="Times New Roman;Times;Serif"/>
          <w:b w:val="false"/>
          <w:i w:val="false"/>
          <w:caps w:val="false"/>
          <w:smallCaps w:val="false"/>
          <w:sz w:val="20"/>
        </w:rPr>
        <w:t>), be entitled to (i) a termination indemnity equal to one year of his fixed compensation plus a discretionary bonus calculated at 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Performance Stock Units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Petruzzi would be entitled only to his fixed compensation accrued through the date of termination, without any right to receive further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Petruzzi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Petruzzi would be entitled to (i) a lump sum equal to 18 months of his fixed compensation plus his target discretionary bonus calculated at 100% of target; (ii) a pro-rated discretionary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Directorship Agreement with Mr. Cesare Frepoli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Cesare Frepoli was appointed as our Chief Operating Officer and an executive director on our Board of Directors. Mr. Frepoli’s directorship agreement does not constitute a contract of employment within the meaning of Section 7:610 et seq. of the Dutch Civil Code. His directorship agreement provides for his fixed compensation, a discretionary annual bonus opportunity, certain equity incentive awards (as detailed in the applicable individual award agreements), and certain benefits including a company car (or cash allowance in lieu), mobile phone and laptop, medical expense and accident insurance, D&amp;O insurance, and tax preparation and financial counselling capped at €15,000 gross per year. Mr. Frepoli’s office runs until after the close of the 2026 annual meeting of shareholders and is renewable year by year thereafter, with either party authorized to terminate upon six months’ written notice. The details of Mr. Frepoli’s compensation for the fiscal year ended December 31, 2025 are included above in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directorship agreement, in the event Mr. Frepoli is terminated as a “Good Leaver” (i.e., the Company revokes or does not renew his appointment without “</w:t>
      </w:r>
      <w:r>
        <w:rPr>
          <w:rFonts w:ascii="Times New Roman;Times;Serif" w:hAnsi="Times New Roman;Times;Serif"/>
          <w:b/>
          <w:i w:val="false"/>
          <w:caps w:val="false"/>
          <w:smallCaps w:val="false"/>
          <w:sz w:val="20"/>
        </w:rPr>
        <w:t>just cause of removal,”</w:t>
      </w:r>
      <w:r>
        <w:rPr>
          <w:rFonts w:ascii="Times New Roman;Times;Serif" w:hAnsi="Times New Roman;Times;Serif"/>
          <w:b w:val="false"/>
          <w:i w:val="false"/>
          <w:caps w:val="false"/>
          <w:smallCaps w:val="false"/>
          <w:sz w:val="20"/>
        </w:rPr>
        <w:t xml:space="preserve"> or Mr. Frepoli resigns for “</w:t>
      </w:r>
      <w:r>
        <w:rPr>
          <w:rFonts w:ascii="Times New Roman;Times;Serif" w:hAnsi="Times New Roman;Times;Serif"/>
          <w:b/>
          <w:i w:val="false"/>
          <w:caps w:val="false"/>
          <w:smallCaps w:val="false"/>
          <w:sz w:val="20"/>
        </w:rPr>
        <w:t>just cause of resignation,”</w:t>
      </w:r>
      <w:r>
        <w:rPr>
          <w:rFonts w:ascii="Times New Roman;Times;Serif" w:hAnsi="Times New Roman;Times;Serif"/>
          <w:b w:val="false"/>
          <w:i w:val="false"/>
          <w:caps w:val="false"/>
          <w:smallCaps w:val="false"/>
          <w:sz w:val="20"/>
        </w:rPr>
        <w:t xml:space="preserve"> or in the event of death or severe disability, as such terms are defined in his directorship agreement), Mr. Frepoli will, subject to his execution of a Settlement Agreement, be entitled to (i) a termination indemnity equal to one year of his fixed compensation plus his discretionary bonus calculated at 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PSUs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Frepoli would be entitled only to his fixed compensation accrued through the date of termination, without any right to receive further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Frepoli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Frepoli would be entitled to (i) a lump sum equal to 18 months of his fixed compensation plus his target discretionary bonus calculated at 100% of target; (ii) a pro-rated discretionary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Annual Bonus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annual bonus program, annual bonuses for our named executive officers will be between 50% and 250% of base salary if annual performance goals are achieved, which may include company performance measures and individual goals that will be determined in the first quarter of every fiscal year. The annual bonus may be paid in cash, PSUs or a combination of cash and PSUs. If paid solely in cash only, the annual bonus will be between 50% and 100% of the base salary. If settled in part or in full in PSUs, the annual bonus will be between 100% and 250% of the base salary. The NEOs are allowed to determine the makeup of the annual bonus. The Remuneration Committee may increase the short-term incentive payable for any given year in case of exceptional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Terra Board of Director Compensation</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28" w:type="dxa"/>
          <w:right w:w="0" w:type="dxa"/>
        </w:tblCellMar>
      </w:tblPr>
      <w:tblGrid>
        <w:gridCol w:w="1865"/>
        <w:gridCol w:w="60"/>
        <w:gridCol w:w="159"/>
        <w:gridCol w:w="910"/>
        <w:gridCol w:w="60"/>
        <w:gridCol w:w="60"/>
        <w:gridCol w:w="183"/>
        <w:gridCol w:w="1052"/>
        <w:gridCol w:w="60"/>
        <w:gridCol w:w="60"/>
        <w:gridCol w:w="140"/>
        <w:gridCol w:w="800"/>
        <w:gridCol w:w="75"/>
      </w:tblGrid>
      <w:tr>
        <w:trPr/>
        <w:tc>
          <w:tcPr>
            <w:tcW w:w="186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Fees</w:t>
              <w:br/>
              <w:t>Earned or</w:t>
              <w:br/>
              <w:t>Paid in</w:t>
              <w:br/>
              <w:t>Cash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Katherine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27,288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6,822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34,110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Peter Hastings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18,192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4,548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22,740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Michael Howard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18,192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11,370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29,562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Rex Jackson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18,192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4,548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22,740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Massimo Morichi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198,054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197,947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396,000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Guillaume Moyen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166,672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100,002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266,674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Martha Crawford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Katherine Williams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Katherine Williams was appointed as an independent Non-Executive Director and Chairperson of our Board of Directors. The appointment was for a fixed period of one year ending immediately after the close of the first annual general meeting of the Company held in the year after the appointment, subject to reappointment for a maximum of two subsequent periods. Ms. Williams’ service agreement provides for a fixed fee of $120,000 gross per annum (as corrected by an addendum dated December 2025, which amended the original fee of $80,000 to reflect her role as Chairperson of our Board of Directors), an additional annual fee for service on committees of the Board as set out in the Company’s Remuneration Policy, and any equity awards duly approved and granted by the Company or the Group Companies. Ms. Williams served as a member of the audit committee and the nominating and corporate governance committee. The Company maintains adequate directors’ and officers’ liability insurance as per market standards.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her service agreement, the Company may terminate the service agreement with immediate effect, without any type of fee or compensation, in the event that any of Ms. Williams’ actions in her capacity as Non-Executive Director qualifies as manifestly improper management as stipulated in Section 2:9 of the Dutch Civil Code, or if she acts in violation of one of the obligations of the service agreement and such breach is not remedied within 15 days after notification. Ms. Williams is authorized to terminate the service agreement prematurely in writing, subject to a notice period of three months. Upon termination, Ms. Williams shall have no entitlement to any compensation or remuneration of any kind other than accrued but unpaid compensation through the end date of the service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2026, Ms. Williams stepped down from the Company’s Audit Committee and Nominating and Corporate Governance Committee and as the Chairperson of the Board of Directors and was designated as Executive Director and the Company’s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Rex Jackson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Rex S. Jackson was appointed as an independent Non-Executive Director on our Board of Directors. Mr. Jackson’s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Jackson’s service agreement provides for a fixed fee of $80,000 gross per annum, an additional annual fee for service on committees of our board as set out in the Company’s Remuneration Policy, and any equity awards duly approved and granted by the Company or the Group Companies. Mr. Jackson serves as the Chairperson of the Audit Committee. The Company maintains adequate directors’ and officers’ liability insurance as per market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service agreement, the Company may terminate the service agreement with immediate effect, without any type of fee or compensation, in the event that any of Mr. Jackson’s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Jackson is authorized to terminate the service agreement prematurely in writing, subject to a notice period of three months. Upon termination, Mr. Jackson shall have no entitlement to any compensation or remuneration of any kind other than accrued but unpaid compensation through the end date of the service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Peter Hastings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Peter Hastings was appointed as an independent Non-Executive Director on our Board of Directors. Mr. Hastings’s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Hastings’s service agreement provides for a fixed fee of $80,000 gross per annum, an additional annual fee for service on committees of the board as set out in the Company’s Remuneration Policy, and any equity awards duly approved and granted by the Company or the Group Companies. Mr. Hastings serves as a member of the Remuneration Committee and as the Chairperson of the Nominating and Corporate Governance Committee. The Company maintains adequate directors’ and officers’ liability insurance as per market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his service agreement, the Company may terminate the service agreement with immediate effect, without any type of fee or compensation, in the event that any of Mr. Hastings’s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Hastings is authorized to terminate the service agreement prematurely in writing, subject to a notice period of three months. Upon termination, Mr. Hastings shall have no entitlement to any compensation or remuneration of any kind other than accrued but unpaid compensation through the end date of the service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W. Howard (Chairperson)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M.W. Howard was appointed as an independent Non-Executive Director on our Board of Directors. Mr. Howard’s service agreement is based on a contract for services (overeenkomst van opdracht) within the meaning of Section 7:400 of the Dutch Civil Code and does not constitute a contract of employment. The appointment is for a fixed period of one year ending immediately after the close of the first annual general meeting of the Company held in the year after the appointment, subject to reappointment for a maximum of two subsequent periods. Mr. Howard’s service agreement provides for a fixed fee of $80,000 gross per annum, an additional annual fee for service on committees of the board as set out in the Company’s Remuneration Policy, and any equity awards duly approved and granted by the Company or the Group Companies. Mr. Howard serves as a member of the audit committee, the Chairperson of the remuneration committee, and a member of the nominating and corporate governance committee. The Company maintains adequate directors’ and officers’ liability insurance as per market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service agreement, the Company may terminate the service agreement with immediate effect, without any type of fee or compensation, in the event that any of Mr. Howard’s actions in his capacity as Non-Executive Director qualifies as manifestly improper management as stipulated in Section 2:9 of the Dutch Civil Code, or if he acts in violation of one of the obligations of the service agreement and such breach is not remedied within 15 days after notification. Mr. Howard is authorized to terminate the service agreement prematurely in writing, subject to a notice period of three months. Upon termination, Mr. Howard shall have no entitlement to any compensation or remuneration of any kind other than accrued but unpaid compensation through the end date of the service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March 29, 2026, Mr. Howard was appointed Chairperson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Massimo Morichi Directorship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10, 2025, Massimo Morichi was appointed as our Chief Strategy Officer and an Executive Director on our Board of Directors. Mr. Morichi’s directorship agreement does not constitute a contract of employment within the meaning of Section 7:610 et seq. of the Dutch Civil Code. His directorship agreement provides for his fixed compensation, a discretionary annual bonus opportunity, certain equity incentive awards (as detailed in individual award agreements), and certain benefits including a company car (or cash allowance in lieu), mobile phone and laptop, medical expense and accident insurance, D&amp;O insurance, and tax preparation and financial counselling capped at €15,000 gross per year. Mr. Morichi’s office runs until after the close of the 2026 annual meeting of shareholders and is renewable year by year thereafter, with either party authorized to terminate upon six months’ written notice. The details of Mr. Morichi’s compensation for the fiscal year ended December 31, 2025 are included above in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directorship agreement, in the event Mr. Morichi is terminated as a “Good Leaver” (i.e., the Company revokes or does not renew his appointment without “</w:t>
      </w:r>
      <w:r>
        <w:rPr>
          <w:rFonts w:ascii="Times New Roman;Times;Serif" w:hAnsi="Times New Roman;Times;Serif"/>
          <w:b/>
          <w:i w:val="false"/>
          <w:caps w:val="false"/>
          <w:smallCaps w:val="false"/>
          <w:sz w:val="20"/>
        </w:rPr>
        <w:t>just cause of removal,”</w:t>
      </w:r>
      <w:r>
        <w:rPr>
          <w:rFonts w:ascii="Times New Roman;Times;Serif" w:hAnsi="Times New Roman;Times;Serif"/>
          <w:b w:val="false"/>
          <w:i w:val="false"/>
          <w:caps w:val="false"/>
          <w:smallCaps w:val="false"/>
          <w:sz w:val="20"/>
        </w:rPr>
        <w:t xml:space="preserve"> or Mr. Morichi resigns for “</w:t>
      </w:r>
      <w:r>
        <w:rPr>
          <w:rFonts w:ascii="Times New Roman;Times;Serif" w:hAnsi="Times New Roman;Times;Serif"/>
          <w:b/>
          <w:i w:val="false"/>
          <w:caps w:val="false"/>
          <w:smallCaps w:val="false"/>
          <w:sz w:val="20"/>
        </w:rPr>
        <w:t>just cause of resignation,”</w:t>
      </w:r>
      <w:r>
        <w:rPr>
          <w:rFonts w:ascii="Times New Roman;Times;Serif" w:hAnsi="Times New Roman;Times;Serif"/>
          <w:b w:val="false"/>
          <w:i w:val="false"/>
          <w:caps w:val="false"/>
          <w:smallCaps w:val="false"/>
          <w:sz w:val="20"/>
        </w:rPr>
        <w:t xml:space="preserve"> or in the event of death or severe disability, as such terms are defined in his directorship agreement), Mr. Morichi will, subject to his execution of a Settlement Agreement, be entitled to (i) a termination indemnity equal to one year of his fixed compensation plus his discretionary bonus calculated at 100% of target; (ii) a pro-rated discretionary bonus for the year of termination, subject to achievement of applicable performance criteria; (iii) continued medical expense insurance coverage for up to 18 months; (iv) continued vesting or full acceleration of any retention share units awarded under any equity plan, in accordance with the applicable individual award agreement; and (v) vesting of any PSUs for the months of actual service during the year of termination (subject to achievement of performance targets) or full acceleration, in each case in accordance with the applicable individual award agreement. In the event of termination as a “Bad Leaver” (as defined in his directorship agreement), Mr. Morichi would be entitled only to his fixed compensation accrued through the date of termination, without any right to receive further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Mr. Morichi is terminated by the Company without “just cause of removal” or resigns for “just cause of resignation,” in each case in connection with a “change in control” (as defined in his directorship agreement), then in lieu of the foregoing Good Leaver severance and subject to his execution of a Settlement Agreement, Mr. Morichi would be entitled to (i) a lump sum equal to 18 months of his fixed compensation plus his target discretionary bonus calculated at 100% of target; (ii) a pro-rated MBO bonus for the year of termination, subject to achievement of applicable performance criteria; (iii) continued medical, dental and vision coverage for up to 18 months; (iv) reimbursement of outplacement services expenses incurred in the 12 months following termination, up to a gross amount of €25,000; (v) continued vesting or full acceleration of any retention share units, in accordance with the applicable individual award agreement; and (vi) vesting or full acceleration of any PSUs, in accordance with the applicable individual award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foregoing severance payments and benefits is subject to Mr. Morichi’s execution of a Settlement Agreement providing for, among other things, full waivers of any right, claim or action against the Company, its Group companies and their investors, as well as his continued compliance with certain confidentiality, intellectual property, non-disparagement and non-solicitation obligations set forth in his directorship agreement. Mr. Morichi is also subject to a 12-month post-termination non-solicitation restriction with respect to the Company’s and the Group’s employees, directors, collaborators, suppliers and clients.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Guillaume Moyen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enter into any services agreements with Guillaume Moyen. Mr. Moyen resigned as the Company’s Chief Financial Officer and Executive Director on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Martha Crawford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enter into any services agreements with Ms. Crawford. Ms. Crawford resigned from the Company’s Board of Directors on November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2025 regarding the beneficial ownership of ordinary shares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each person known by us to be the beneficial owner of more than 5% of the outstanding shares of any class of our voting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each of our current named executive officers and directors;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all current executive officers and directors of Terra Innovatum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beneficial ownership of ordinary shares is based on 110,500,908 ordinary shares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 Unless otherwise noted, the address of each shareholder listed below is Via Matteo Trenta 117 Lucca, Italy 55100.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of shares beneficially owned by them.</w:t>
      </w:r>
    </w:p>
    <w:p>
      <w:pPr>
        <w:pStyle w:val="TextBody"/>
        <w:bidi w:val="0"/>
        <w:spacing w:before="0" w:after="0"/>
        <w:ind w:left="0" w:right="0" w:hanging="0"/>
        <w:jc w:val="left"/>
        <w:rPr>
          <w:caps w:val="false"/>
          <w:smallCaps w:val="false"/>
        </w:rPr>
      </w:pPr>
      <w:r>
        <w:rPr>
          <w:caps w:val="false"/>
          <w:smallCaps w:val="false"/>
        </w:rPr>
        <w:t> </w:t>
      </w:r>
    </w:p>
    <w:tbl>
      <w:tblPr>
        <w:tblW w:w="8435" w:type="dxa"/>
        <w:jc w:val="left"/>
        <w:tblInd w:w="0" w:type="dxa"/>
        <w:tblLayout w:type="fixed"/>
        <w:tblCellMar>
          <w:top w:w="0" w:type="dxa"/>
          <w:left w:w="0" w:type="dxa"/>
          <w:bottom w:w="28" w:type="dxa"/>
          <w:right w:w="0" w:type="dxa"/>
        </w:tblCellMar>
      </w:tblPr>
      <w:tblGrid>
        <w:gridCol w:w="5720"/>
        <w:gridCol w:w="60"/>
        <w:gridCol w:w="60"/>
        <w:gridCol w:w="1100"/>
        <w:gridCol w:w="60"/>
        <w:gridCol w:w="60"/>
        <w:gridCol w:w="137"/>
        <w:gridCol w:w="1008"/>
        <w:gridCol w:w="230"/>
      </w:tblGrid>
      <w:tr>
        <w:trPr/>
        <w:tc>
          <w:tcPr>
            <w:tcW w:w="5720"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Shares</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Percentage</w:t>
              <w:br/>
              <w:t>Ownership</w:t>
            </w:r>
          </w:p>
        </w:tc>
        <w:tc>
          <w:tcPr>
            <w:tcW w:w="230" w:type="dxa"/>
            <w:tcBorders/>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Alessandro Petruzzi</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Cesare Frepoli</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21.5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7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Marco Cherubini</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Massimo Morichi</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7,875,000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7.1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720" w:type="dxa"/>
            <w:tcBorders/>
            <w:shd w:fill="FFFFFF" w:val="clear"/>
            <w:tcMar>
              <w:bottom w:w="0" w:type="dxa"/>
            </w:tcMar>
            <w:vAlign w:val="center"/>
          </w:tcPr>
          <w:p>
            <w:pPr>
              <w:pStyle w:val="TableContents"/>
              <w:bidi w:val="0"/>
              <w:spacing w:before="0" w:after="283"/>
              <w:jc w:val="left"/>
              <w:rPr/>
            </w:pPr>
            <w:r>
              <w:rPr/>
              <w:t>Rex S. Jackson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pPr>
            <w:r>
              <w:rPr/>
              <w:t>Katherine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shd w:fill="FFFFFF" w:val="clear"/>
            <w:tcMar>
              <w:bottom w:w="0" w:type="dxa"/>
            </w:tcMar>
            <w:vAlign w:val="center"/>
          </w:tcPr>
          <w:p>
            <w:pPr>
              <w:pStyle w:val="TableContents"/>
              <w:bidi w:val="0"/>
              <w:spacing w:before="0" w:after="283"/>
              <w:jc w:val="left"/>
              <w:rPr/>
            </w:pPr>
            <w:r>
              <w:rPr/>
              <w:t>Michael Howard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pPr>
            <w:r>
              <w:rPr/>
              <w:t>Peter Hastings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shd w:fill="FFFFFF" w:val="clear"/>
            <w:tcMar>
              <w:bottom w:w="0" w:type="dxa"/>
            </w:tcMar>
            <w:vAlign w:val="center"/>
          </w:tcPr>
          <w:p>
            <w:pPr>
              <w:pStyle w:val="TableContents"/>
              <w:bidi w:val="0"/>
              <w:spacing w:before="0" w:after="283"/>
              <w:jc w:val="left"/>
              <w:rPr/>
            </w:pPr>
            <w:r>
              <w:rPr/>
              <w:t>All Directors and Executive Officers as a Group (8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32,112,500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29.1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720" w:type="dxa"/>
            <w:tcBorders/>
            <w:shd w:fill="CCEEFF" w:val="clear"/>
            <w:tcMar>
              <w:bottom w:w="0" w:type="dxa"/>
            </w:tcMar>
            <w:vAlign w:val="center"/>
          </w:tcPr>
          <w:p>
            <w:pPr>
              <w:pStyle w:val="TableContents"/>
              <w:bidi w:val="0"/>
              <w:spacing w:before="0" w:after="283"/>
              <w:jc w:val="left"/>
              <w:rPr>
                <w:b/>
              </w:rPr>
            </w:pPr>
            <w:r>
              <w:rPr>
                <w:b/>
              </w:rPr>
              <w:t>5% or Greater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NINENG S.R.L.</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43.1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720" w:type="dxa"/>
            <w:tcBorders/>
            <w:shd w:fill="CCEEFF" w:val="clear"/>
            <w:tcMar>
              <w:bottom w:w="0" w:type="dxa"/>
            </w:tcMar>
            <w:vAlign w:val="center"/>
          </w:tcPr>
          <w:p>
            <w:pPr>
              <w:pStyle w:val="TableContents"/>
              <w:bidi w:val="0"/>
              <w:spacing w:before="0" w:after="283"/>
              <w:jc w:val="left"/>
              <w:rPr/>
            </w:pPr>
            <w:r>
              <w:rPr/>
              <w:t>Giordano Morichi</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6.3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25,840,000 ordinary shares issued at the Closing of the Business Combination. In addition, the holder was issued 4,352 Terra preferred shares, which are mandatorily convertible into up to 43,520,000 ordinary shares in four equal tranches upon achievement of specified milestones. On October 16, 2025, milestones corresponding to two tranches were achieved and the related preferred shares automatically converted into an aggregate of 21,760,000 ordinary shares, which are included in the amount shown above. The remaining two tranches had not been achieved as of December 31, 2025 and were not acquirable within 60 days of December 31, 2025. NINENG S.R.L., is the record holder of the Terra Shares reported herein. Alessandro Petruzzi and Marco Cherubini are the sole members and managers of NINENG S.R.L., and share voting and dispositive power over the Terra Shares.</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12,920,000 ordinary shares issued at the Closing of the Business Combination. In addition, the holder was issued 2,176 Terra preferred shares, which are mandatorily convertible into up to 21,760,000 ordinary shares in four equal tranches upon achievement of specified milestones. On October 16, 2025, milestones corresponding to two tranches were achieved and the related preferred shares automatically converted into an aggregate of 10,880,000 ordinary shares, which are included in the amount shown above. The remaining two tranches had not been achieved as of December 31, 2025 and were not acquirable within 60 days of December 31, 2025.</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4,275,000 ordinary shares issued at the Closing of the Business Combination. In addition, the holder was issued 720 Terra preferred shares, which are mandatorily convertible into up to 7,200,000 ordinary shares in four equal tranches upon achievement of specified milestones. On October 16, 2025, milestones corresponding to two tranches were achieved and the related preferred shares automatically converted into an aggregate of 3,600,000 ordinary shares, which are included in the amount shown above. The remaining two tranches had not been achieved as of December 31, 2025 and were not acquirable within 60 days of December 31, 2025.</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3,800,000 ordinary shares issued at the Closing of the Business Combination. In addition, the holder was issued 640 Terra preferred shares, which are mandatorily convertible into up to 6,400,000 ordinary shares in four equal tranches upon achievement of specified milestones. On October 16, 2025, milestones corresponding to two tranches were achieved and the related preferred shares automatically converted into an aggregate of 3,200,000 ordinary shares, which are included in the amount shown above. The remaining two tranches had not been achieved as of December 31, 2025 and were not acquirable within 60 days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about the securities authorized for issuance under our incentive plans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3"/>
        <w:gridCol w:w="60"/>
        <w:gridCol w:w="679"/>
        <w:gridCol w:w="1585"/>
        <w:gridCol w:w="60"/>
        <w:gridCol w:w="60"/>
        <w:gridCol w:w="345"/>
        <w:gridCol w:w="2285"/>
        <w:gridCol w:w="60"/>
        <w:gridCol w:w="60"/>
        <w:gridCol w:w="175"/>
        <w:gridCol w:w="2885"/>
        <w:gridCol w:w="78"/>
      </w:tblGrid>
      <w:tr>
        <w:trPr/>
        <w:tc>
          <w:tcPr>
            <w:tcW w:w="1873" w:type="dxa"/>
            <w:tcBorders>
              <w:bottom w:val="single" w:sz="12"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64" w:type="dxa"/>
            <w:gridSpan w:val="2"/>
            <w:tcBorders>
              <w:bottom w:val="single" w:sz="12" w:space="0" w:color="000000"/>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30" w:type="dxa"/>
            <w:gridSpan w:val="2"/>
            <w:tcBorders>
              <w:bottom w:val="single" w:sz="12" w:space="0" w:color="000000"/>
            </w:tcBorders>
            <w:vAlign w:val="center"/>
          </w:tcPr>
          <w:p>
            <w:pPr>
              <w:pStyle w:val="TableContents"/>
              <w:bidi w:val="0"/>
              <w:spacing w:before="0" w:after="283"/>
              <w:jc w:val="center"/>
              <w:rPr>
                <w:b/>
              </w:rPr>
            </w:pPr>
            <w:r>
              <w:rPr>
                <w:b/>
              </w:rPr>
              <w:t>Weighted-average 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60" w:type="dxa"/>
            <w:gridSpan w:val="2"/>
            <w:tcBorders>
              <w:bottom w:val="single" w:sz="12"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w:t>
            </w:r>
          </w:p>
        </w:tc>
        <w:tc>
          <w:tcPr>
            <w:tcW w:w="78" w:type="dxa"/>
            <w:tcBorders/>
            <w:tcMar>
              <w:bottom w:w="0" w:type="dxa"/>
            </w:tcMar>
            <w:vAlign w:val="center"/>
          </w:tcPr>
          <w:p>
            <w:pPr>
              <w:pStyle w:val="TableContents"/>
              <w:bidi w:val="0"/>
              <w:spacing w:before="0" w:after="283"/>
              <w:jc w:val="left"/>
              <w:rPr/>
            </w:pPr>
            <w:r>
              <w:rPr/>
              <w:t> </w:t>
            </w:r>
          </w:p>
        </w:tc>
      </w:tr>
      <w:tr>
        <w:trPr/>
        <w:tc>
          <w:tcPr>
            <w:tcW w:w="1873"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9"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5"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2885" w:type="dxa"/>
            <w:tcBorders/>
            <w:shd w:fill="CCEEFF" w:val="clear"/>
            <w:tcMar>
              <w:bottom w:w="0" w:type="dxa"/>
            </w:tcMar>
            <w:vAlign w:val="center"/>
          </w:tcPr>
          <w:p>
            <w:pPr>
              <w:pStyle w:val="TableContents"/>
              <w:bidi w:val="0"/>
              <w:spacing w:before="0" w:after="283"/>
              <w:jc w:val="right"/>
              <w:rPr/>
            </w:pPr>
            <w:r>
              <w:rPr/>
              <w:t>7,030,094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3"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9" w:type="dxa"/>
            <w:tcBorders>
              <w:bottom w:val="single" w:sz="12" w:space="0" w:color="000000"/>
            </w:tcBorders>
            <w:shd w:fill="FFFFFF" w:val="clear"/>
            <w:vAlign w:val="center"/>
          </w:tcPr>
          <w:p>
            <w:pPr>
              <w:pStyle w:val="TableContents"/>
              <w:bidi w:val="0"/>
              <w:spacing w:before="0" w:after="283"/>
              <w:jc w:val="left"/>
              <w:rPr/>
            </w:pPr>
            <w:r>
              <w:rPr/>
              <w:t> </w:t>
            </w:r>
          </w:p>
        </w:tc>
        <w:tc>
          <w:tcPr>
            <w:tcW w:w="1585" w:type="dxa"/>
            <w:tcBorders>
              <w:bottom w:val="single" w:sz="12" w:space="0" w:color="000000"/>
            </w:tcBorders>
            <w:shd w:fill="FFFFFF" w:val="cle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5" w:type="dxa"/>
            <w:tcBorders>
              <w:bottom w:val="single" w:sz="12" w:space="0" w:color="000000"/>
            </w:tcBorders>
            <w:shd w:fill="FFFFFF" w:val="clear"/>
            <w:vAlign w:val="center"/>
          </w:tcPr>
          <w:p>
            <w:pPr>
              <w:pStyle w:val="TableContents"/>
              <w:bidi w:val="0"/>
              <w:spacing w:before="0" w:after="283"/>
              <w:jc w:val="left"/>
              <w:rPr/>
            </w:pPr>
            <w:r>
              <w:rPr/>
              <w:t> </w:t>
            </w:r>
          </w:p>
        </w:tc>
        <w:tc>
          <w:tcPr>
            <w:tcW w:w="228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FFFFFF" w:val="clear"/>
            <w:vAlign w:val="center"/>
          </w:tcPr>
          <w:p>
            <w:pPr>
              <w:pStyle w:val="TableContents"/>
              <w:bidi w:val="0"/>
              <w:spacing w:before="0" w:after="283"/>
              <w:jc w:val="left"/>
              <w:rPr/>
            </w:pPr>
            <w:r>
              <w:rPr/>
              <w:t> </w:t>
            </w:r>
          </w:p>
        </w:tc>
        <w:tc>
          <w:tcPr>
            <w:tcW w:w="2885" w:type="dxa"/>
            <w:tcBorders>
              <w:bottom w:val="single" w:sz="12" w:space="0" w:color="000000"/>
            </w:tcBorders>
            <w:shd w:fill="FFFFFF" w:val="cle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3"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9" w:type="dxa"/>
            <w:tcBorders>
              <w:bottom w:val="double" w:sz="10" w:space="0" w:color="000000"/>
            </w:tcBorders>
            <w:shd w:fill="CCEEFF" w:val="clear"/>
            <w:vAlign w:val="center"/>
          </w:tcPr>
          <w:p>
            <w:pPr>
              <w:pStyle w:val="TableContents"/>
              <w:bidi w:val="0"/>
              <w:spacing w:before="0" w:after="283"/>
              <w:jc w:val="left"/>
              <w:rPr/>
            </w:pPr>
            <w:r>
              <w:rPr/>
              <w:t> </w:t>
            </w:r>
          </w:p>
        </w:tc>
        <w:tc>
          <w:tcPr>
            <w:tcW w:w="1585" w:type="dxa"/>
            <w:tcBorders>
              <w:bottom w:val="double" w:sz="10" w:space="0" w:color="000000"/>
            </w:tcBorders>
            <w:shd w:fill="CCEEFF" w:val="cle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5" w:type="dxa"/>
            <w:tcBorders>
              <w:bottom w:val="double" w:sz="10" w:space="0" w:color="000000"/>
            </w:tcBorders>
            <w:shd w:fill="CCEEFF" w:val="clear"/>
            <w:vAlign w:val="center"/>
          </w:tcPr>
          <w:p>
            <w:pPr>
              <w:pStyle w:val="TableContents"/>
              <w:bidi w:val="0"/>
              <w:spacing w:before="0" w:after="283"/>
              <w:jc w:val="left"/>
              <w:rPr/>
            </w:pPr>
            <w:r>
              <w:rPr/>
              <w:t> </w:t>
            </w:r>
          </w:p>
        </w:tc>
        <w:tc>
          <w:tcPr>
            <w:tcW w:w="2285" w:type="dxa"/>
            <w:tcBorders>
              <w:bottom w:val="double" w:sz="10"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double" w:sz="10" w:space="0" w:color="000000"/>
            </w:tcBorders>
            <w:shd w:fill="CCEEFF" w:val="clear"/>
            <w:vAlign w:val="center"/>
          </w:tcPr>
          <w:p>
            <w:pPr>
              <w:pStyle w:val="TableContents"/>
              <w:bidi w:val="0"/>
              <w:spacing w:before="0" w:after="283"/>
              <w:jc w:val="left"/>
              <w:rPr/>
            </w:pPr>
            <w:r>
              <w:rPr/>
              <w:t> </w:t>
            </w:r>
          </w:p>
        </w:tc>
        <w:tc>
          <w:tcPr>
            <w:tcW w:w="2885" w:type="dxa"/>
            <w:tcBorders>
              <w:bottom w:val="double" w:sz="10" w:space="0" w:color="000000"/>
            </w:tcBorders>
            <w:shd w:fill="CCEEFF" w:val="cle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Terra Innovatum earned other income of $0 and $129,170, respectively, for engineering consulting services provided to related parties. The consulting services are unrelated to the core business of Terra Innovatum and are included in the statement of operations under other income — related parties.</w:t>
      </w:r>
    </w:p>
    <w:p>
      <w:pPr>
        <w:pStyle w:val="TextBody"/>
        <w:shd w:fill="FFFFFF" w:val="clear"/>
        <w:bidi w:val="0"/>
        <w:spacing w:before="0" w:after="0"/>
        <w:ind w:left="0" w:right="0" w:firstLine="48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Terra Innovatum entered into interest-free loan agreements with its legacy quotaholders. The total loan amounts of $73,635 and $216,212 were provided in cash installments by January 15, 2025. Both loans were repaid in full upon the Closing of the Business Combination.</w:t>
      </w:r>
    </w:p>
    <w:p>
      <w:pPr>
        <w:pStyle w:val="TextBody"/>
        <w:shd w:fill="FFFFFF" w:val="clear"/>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shd w:fill="FFFFFF" w:val="clear"/>
        <w:bidi w:val="0"/>
        <w:spacing w:before="0" w:after="0"/>
        <w:ind w:left="0" w:right="0" w:firstLine="48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The term of the lease runs for 24 months until March 31, 2027; each party may withdraw from the lease agreement at any time before the expiration date. The rent is $12,316 (€11,400 Euros) per annum in addition to a de minimis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in the previous year and subsequently year by year, with the first update taking effect on April 1, 2026. During the year ended December 31, 2025, the Company paid $9,663 in rent.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Company entered into an engineering services agreement with Nine, a related party, to support the design of the SOLO project. Per the terms of the agreement, Nine committed to deliver certain technical services to the Company with a total value of $214,508 (€183,560)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The Company paid an initial one-time payment of $131,410 in September 2025.</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entered into an engineering services agreement with FPoliSolutions LLC (“</w:t>
      </w:r>
      <w:r>
        <w:rPr>
          <w:rFonts w:ascii="Times New Roman;Times;Serif" w:hAnsi="Times New Roman;Times;Serif"/>
          <w:b/>
          <w:i w:val="false"/>
          <w:caps w:val="false"/>
          <w:smallCaps w:val="false"/>
          <w:sz w:val="20"/>
        </w:rPr>
        <w:t>FPoliSolutions</w:t>
      </w:r>
      <w:r>
        <w:rPr>
          <w:rFonts w:ascii="Times New Roman;Times;Serif" w:hAnsi="Times New Roman;Times;Serif"/>
          <w:b w:val="false"/>
          <w:i w:val="false"/>
          <w:caps w:val="false"/>
          <w:smallCaps w:val="false"/>
          <w:sz w:val="20"/>
        </w:rPr>
        <w:t>”), a related party. As per the terms of the agreement, FPoliSolutions will provide support for the development of the SOLO Micro Modular Reactor including technical assistance in safety analysis, hazard modeling, radiological consequence evaluation, risk-informed safety assessments, and techno-economic analysis for $89,687 with work completed during September 2025.</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2025, the Company entered into an amendment to its existing engineering services agreement with FPoliSolutions. The amendment extends the scope of work through December 31, 2025 and adds one full-time engineer on a fixed-price basis of $106,600.</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Persons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that requires the review and approval of any transaction, arrangement or relationship where the Company was, is or will be a participant and the amount involved exceeds $120,000, and in which any “Related Person” (generally defined as any director (or director nominee) or executive officer of the Company, beneficial owner of more than 5% of the Company’s shares, any immediate family member of the foregoing and any entity in which any of the foregoing persons is employed or is a partner or principal or in which that person has a 10% or greater beneficial ownership interest) had, has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entering any such transaction, arrangement or relationship, the Chief Financial Officer must be notified of the facts and circumstances of the proposed transaction, arrangement or relationship. If the Chief Financial Officer determines that a transaction, arrangement or relationship is indeed a related party transaction, then such transaction will be sent to the Audit Committee (or the Chairperson of such committee) for their review and approval. Only those transactions that are in the best interests of the Company shall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Audit Committee of the Board of Directors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of the Company dismissed MaloneBailey, LLP (“</w:t>
      </w:r>
      <w:r>
        <w:rPr>
          <w:rFonts w:ascii="Times New Roman;Times;Serif" w:hAnsi="Times New Roman;Times;Serif"/>
          <w:b/>
          <w:i w:val="false"/>
          <w:caps w:val="false"/>
          <w:smallCaps w:val="false"/>
          <w:sz w:val="20"/>
        </w:rPr>
        <w:t>MaloneBailey”</w:t>
      </w:r>
      <w:r>
        <w:rPr>
          <w:rFonts w:ascii="Times New Roman;Times;Serif" w:hAnsi="Times New Roman;Times;Serif"/>
          <w:b w:val="false"/>
          <w:i w:val="false"/>
          <w:caps w:val="false"/>
          <w:smallCaps w:val="false"/>
          <w:sz w:val="20"/>
        </w:rPr>
        <w:t>) as the Company’s independent registered public accounting firm. MaloneBailey had served as the Company’s independent registered public accounting firm since April 29, 2025. MaloneBailey had served as the independent auditor for Terra Innovatum S.R.L, an Italian limited liability company, the Company’s wholly-owned Subsidiary, since 2025. MaloneBailey had served as the independent auditor for Xit Corp. (formerly GSR III Acquisition Corp.), a Cayman Islands exempted company, the Company’s wholly-owned Subsidiary, since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MaloneBailey’s audit report on the Company’s financial statements as of April 29, 2025 and for the period beginning April 29, 2025 (inception) and ended April 29, 2025 did not contain an adverse opinion or a disclaimer of opinion and was not qualified or modified as to uncertainty, audit scope or accounting principles, except that the report included an explanatory paragraph expressing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April 29, 2025 (inception) and ended April 29, 2025 and the subsequent interim period through January 15, 2026: (1) there were no “disagreements” (as defined in Item 304(a)(1)(iv) of Regulation S-K) with MaloneBailey on any matter of accounting principles or practices, financial statement disclosure, or auditing scope or procedure, which disagreements, if not resolved to the satisfaction of MaloneBailey, would have caused MaloneBailey to make reference to the subject matter of such disagreements in connection with its reports on the financial statements for such periods and (2) there were no “reportable events” (as defined in Item 304(a)(1)(v) of Regulation S-K), except for the material weaknesses related to the Company’s internal controls over financial reporting as described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reported the change in accounting firms on a Current Report on Form 8-K filed with the SEC on January 21, 2026. We provided MaloneBailey with a copy of the above disclosures and requested that MaloneBailey furnish a letter addressed to the SEC stating whether or not it agrees with the foregoing statements. A copy of MaloneBailey’s letter dated January 21, 2026 was filed as Exhibit 16.1 to our Current Report on Form 8-K filed on January 21,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Audit Committee appointed KPMG Accountants N.V. (“</w:t>
      </w:r>
      <w:r>
        <w:rPr>
          <w:rFonts w:ascii="Times New Roman;Times;Serif" w:hAnsi="Times New Roman;Times;Serif"/>
          <w:b/>
          <w:i w:val="false"/>
          <w:caps w:val="false"/>
          <w:smallCaps w:val="false"/>
          <w:sz w:val="20"/>
        </w:rPr>
        <w:t>KPMG”</w:t>
      </w:r>
      <w:r>
        <w:rPr>
          <w:rFonts w:ascii="Times New Roman;Times;Serif" w:hAnsi="Times New Roman;Times;Serif"/>
          <w:b w:val="false"/>
          <w:i w:val="false"/>
          <w:caps w:val="false"/>
          <w:smallCaps w:val="false"/>
          <w:sz w:val="20"/>
        </w:rPr>
        <w:t>) as its new independent registered public accounting firm. The Company has authorized MaloneBailey to respond fully to the inquiries of the successor independent registered public accounting firm.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and the subsequent interim period through January 15, 2026, the Company did not consult with KPMG with respect to (i) the application of accounting principles to a specified transaction, either completed or proposed,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that term is defined in Item 304(a)(1)(iv) of Regulation S-K and the related instructions to Item 304 of Regulation S-K) or a reportable event (as that term is defined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established a pre-approval policy and procedures for audit, audit-related and tax services that can be performed by the independent auditors without specific authorization from the Audit Committee subject to certain restrictions. The policy sets out the specific services pre-approved by the Audit Committee and the applicable limitations, while ensuring the independence of the independent auditors to audit our financial statements is not impaired. The pre-approval policy does not include a delegation to management of the Audit Committee’s responsibilities under the Exchange Act. During the year ended December 31, 2025, the Audit Committee pre-approved all audit and permissible non-audit services provided by our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Fees Paid to the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approximate aggregate fees billed to us by our former and current independent registered public accounting firms for the period from January 1, 2024 through December 31, 2025:</w:t>
      </w:r>
    </w:p>
    <w:p>
      <w:pPr>
        <w:pStyle w:val="TextBody"/>
        <w:bidi w:val="0"/>
        <w:spacing w:before="0" w:after="0"/>
        <w:ind w:left="0" w:right="0" w:hanging="0"/>
        <w:jc w:val="left"/>
        <w:rPr>
          <w:caps w:val="false"/>
          <w:smallCaps w:val="false"/>
        </w:rPr>
      </w:pPr>
      <w:r>
        <w:rPr>
          <w:caps w:val="false"/>
          <w:smallCaps w:val="false"/>
        </w:rPr>
        <w:t> </w:t>
      </w:r>
    </w:p>
    <w:tbl>
      <w:tblPr>
        <w:tblW w:w="10018" w:type="dxa"/>
        <w:jc w:val="left"/>
        <w:tblInd w:w="0" w:type="dxa"/>
        <w:tblLayout w:type="fixed"/>
        <w:tblCellMar>
          <w:top w:w="0" w:type="dxa"/>
          <w:left w:w="0" w:type="dxa"/>
          <w:bottom w:w="0" w:type="dxa"/>
          <w:right w:w="0" w:type="dxa"/>
        </w:tblCellMar>
      </w:tblPr>
      <w:tblGrid>
        <w:gridCol w:w="1865"/>
        <w:gridCol w:w="60"/>
        <w:gridCol w:w="673"/>
        <w:gridCol w:w="3276"/>
        <w:gridCol w:w="60"/>
        <w:gridCol w:w="60"/>
        <w:gridCol w:w="493"/>
        <w:gridCol w:w="3456"/>
        <w:gridCol w:w="7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w:t>
            </w:r>
          </w:p>
        </w:tc>
        <w:tc>
          <w:tcPr>
            <w:tcW w:w="3276"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3456" w:type="dxa"/>
            <w:tcBorders/>
            <w:shd w:fill="CCEEFF" w:val="clear"/>
            <w:vAlign w:val="center"/>
          </w:tcPr>
          <w:p>
            <w:pPr>
              <w:pStyle w:val="TableContents"/>
              <w:bidi w:val="0"/>
              <w:spacing w:before="0" w:after="283"/>
              <w:jc w:val="right"/>
              <w:rPr/>
            </w:pPr>
            <w:r>
              <w:rPr/>
              <w:t>1,394,008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32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34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32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34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2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456" w:type="dxa"/>
            <w:tcBorders>
              <w:bottom w:val="single" w:sz="12" w:space="0" w:color="000000"/>
            </w:tcBorders>
            <w:shd w:fill="FFFFFF" w:val="clear"/>
            <w:tcMar>
              <w:bottom w:w="28" w:type="dxa"/>
            </w:tcMar>
            <w:vAlign w:val="center"/>
          </w:tcPr>
          <w:p>
            <w:pPr>
              <w:pStyle w:val="TableContents"/>
              <w:bidi w:val="0"/>
              <w:spacing w:before="0" w:after="283"/>
              <w:jc w:val="right"/>
              <w:rPr/>
            </w:pPr>
            <w:r>
              <w:rPr/>
              <w:t>77,250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276" w:type="dxa"/>
            <w:tcBorders>
              <w:bottom w:val="double" w:sz="10" w:space="0" w:color="000000"/>
            </w:tcBorders>
            <w:shd w:fill="CCEEFF" w:val="clear"/>
            <w:tcMar>
              <w:bottom w:w="28" w:type="dxa"/>
            </w:tcM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456" w:type="dxa"/>
            <w:tcBorders>
              <w:bottom w:val="double" w:sz="10" w:space="0" w:color="000000"/>
            </w:tcBorders>
            <w:shd w:fill="CCEEFF" w:val="clear"/>
            <w:tcMar>
              <w:bottom w:w="28" w:type="dxa"/>
            </w:tcMar>
            <w:vAlign w:val="center"/>
          </w:tcPr>
          <w:p>
            <w:pPr>
              <w:pStyle w:val="TableContents"/>
              <w:bidi w:val="0"/>
              <w:spacing w:before="0" w:after="283"/>
              <w:jc w:val="right"/>
              <w:rPr/>
            </w:pPr>
            <w:r>
              <w:rPr/>
              <w:t>1,471,258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8" w:type="dxa"/>
            <w:tcBorders/>
            <w:vAlign w:val="center"/>
          </w:tcPr>
          <w:p>
            <w:pPr>
              <w:pStyle w:val="TableContents"/>
              <w:bidi w:val="0"/>
              <w:spacing w:before="0" w:after="283"/>
              <w:jc w:val="left"/>
              <w:rPr/>
            </w:pPr>
            <w:r>
              <w:rPr/>
              <w:t>“</w:t>
            </w:r>
            <w:r>
              <w:rPr>
                <w:rFonts w:ascii="Times New Roman;Times;Serif" w:hAnsi="Times New Roman;Times;Serif"/>
                <w:sz w:val="20"/>
              </w:rPr>
              <w:t>Audit Fees” are fees incurred for professional services for the audit and quarterly reviews of our financial statements. Audit Fees for the 2024 and 2025 fiscal years consist of $75,000 and $232,350 incurred by MaloneBailey LLP, respectively, and $0 and $1,161,658 incurred by KPMG, respectively.</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260"/>
        <w:gridCol w:w="9230"/>
      </w:tblGrid>
      <w:tr>
        <w:trPr/>
        <w:tc>
          <w:tcPr>
            <w:tcW w:w="260" w:type="dxa"/>
            <w:tcBorders/>
            <w:vAlign w:val="center"/>
          </w:tcPr>
          <w:p>
            <w:pPr>
              <w:pStyle w:val="TableContents"/>
              <w:bidi w:val="0"/>
              <w:spacing w:before="0" w:after="283"/>
              <w:jc w:val="left"/>
              <w:rPr>
                <w:position w:val="8"/>
                <w:sz w:val="19"/>
              </w:rPr>
            </w:pPr>
            <w:r>
              <w:rPr>
                <w:position w:val="8"/>
                <w:sz w:val="19"/>
              </w:rPr>
              <w:t>(2)</w:t>
            </w:r>
          </w:p>
        </w:tc>
        <w:tc>
          <w:tcPr>
            <w:tcW w:w="9230" w:type="dxa"/>
            <w:tcBorders/>
            <w:vAlign w:val="center"/>
          </w:tcPr>
          <w:p>
            <w:pPr>
              <w:pStyle w:val="TableContents"/>
              <w:bidi w:val="0"/>
              <w:spacing w:before="0" w:after="283"/>
              <w:jc w:val="left"/>
              <w:rPr/>
            </w:pPr>
            <w:r>
              <w:rPr/>
              <w:t>“</w:t>
            </w:r>
            <w:r>
              <w:rPr/>
              <w:t>Tax Fees” are fees primarily for tax compliance in connection with filing US income tax returns.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osition w:val="8"/>
                <w:sz w:val="19"/>
              </w:rPr>
            </w:pPr>
            <w:r>
              <w:rPr>
                <w:position w:val="8"/>
                <w:sz w:val="19"/>
              </w:rPr>
              <w:t>(3)</w:t>
            </w:r>
          </w:p>
        </w:tc>
        <w:tc>
          <w:tcPr>
            <w:tcW w:w="9963" w:type="dxa"/>
            <w:tcBorders/>
            <w:vAlign w:val="center"/>
          </w:tcPr>
          <w:p>
            <w:pPr>
              <w:pStyle w:val="TableContents"/>
              <w:bidi w:val="0"/>
              <w:spacing w:before="0" w:after="283"/>
              <w:jc w:val="left"/>
              <w:rPr/>
            </w:pPr>
            <w:r>
              <w:rPr/>
              <w:t>“</w:t>
            </w:r>
            <w:r>
              <w:rPr/>
              <w:t>All other fees” related to the reviews of Registration Statements on Form S-1 and S-4. These fees were solely incurred by MaloneBailey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15. EXHIBIT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List of Documents Filed as a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as indicated by the Index to Consolidated Financial Statements set forth below, begin on page F-1. Financial statement schedules have been omitted because they are not applicable or the required information is included in the financial statements or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340"/>
        <w:gridCol w:w="60"/>
        <w:gridCol w:w="455"/>
      </w:tblGrid>
      <w:tr>
        <w:trPr/>
        <w:tc>
          <w:tcPr>
            <w:tcW w:w="7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b/>
                <w:sz w:val="20"/>
              </w:rPr>
            </w:pPr>
            <w:r>
              <w:rPr>
                <w:b/>
                <w:sz w:val="20"/>
              </w:rPr>
              <w:t>Page</w:t>
            </w:r>
          </w:p>
        </w:tc>
      </w:tr>
      <w:tr>
        <w:trPr/>
        <w:tc>
          <w:tcPr>
            <w:tcW w:w="7340" w:type="dxa"/>
            <w:tcBorders/>
            <w:shd w:fill="CCEEFF" w:val="clear"/>
            <w:vAlign w:val="center"/>
          </w:tcPr>
          <w:p>
            <w:pPr>
              <w:pStyle w:val="TableContents"/>
              <w:bidi w:val="0"/>
              <w:spacing w:before="0" w:after="283"/>
              <w:jc w:val="left"/>
              <w:rPr/>
            </w:pPr>
            <w:hyperlink w:anchor="fin_001">
              <w:r>
                <w:rPr>
                  <w:rStyle w:val="InternetLink"/>
                  <w:sz w:val="20"/>
                </w:rPr>
                <w:t>Report of Independent Registered Public Accounting Firm</w:t>
              </w:r>
            </w:hyperlink>
            <w:hyperlink w:anchor="fin_001">
              <w:r>
                <w:rPr>
                  <w:rStyle w:val="InternetLink"/>
                </w:rPr>
                <w:t> </w:t>
              </w:r>
            </w:hyperlink>
            <w:hyperlink w:anchor="fin_001">
              <w:r>
                <w:rPr>
                  <w:rStyle w:val="InternetLink"/>
                  <w:sz w:val="20"/>
                </w:rPr>
                <w:t>(PCAOB ID 1012)</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F-1</w:t>
            </w:r>
          </w:p>
        </w:tc>
      </w:tr>
      <w:tr>
        <w:trPr/>
        <w:tc>
          <w:tcPr>
            <w:tcW w:w="7340" w:type="dxa"/>
            <w:tcBorders/>
            <w:shd w:fill="FFFFFF" w:val="clear"/>
            <w:vAlign w:val="center"/>
          </w:tcPr>
          <w:p>
            <w:pPr>
              <w:pStyle w:val="TableContents"/>
              <w:bidi w:val="0"/>
              <w:spacing w:before="0" w:after="283"/>
              <w:jc w:val="left"/>
              <w:rPr/>
            </w:pPr>
            <w:hyperlink w:anchor="KSA_001">
              <w:r>
                <w:rPr>
                  <w:rStyle w:val="InternetLink"/>
                </w:rPr>
                <w:t>Report of Independent Registered Public Accounting Firm (PCAOB ID 206)</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F-2</w:t>
            </w:r>
          </w:p>
        </w:tc>
      </w:tr>
      <w:tr>
        <w:trPr/>
        <w:tc>
          <w:tcPr>
            <w:tcW w:w="7340" w:type="dxa"/>
            <w:tcBorders/>
            <w:shd w:fill="CCEEFF" w:val="clear"/>
            <w:vAlign w:val="center"/>
          </w:tcPr>
          <w:p>
            <w:pPr>
              <w:pStyle w:val="TableContents"/>
              <w:bidi w:val="0"/>
              <w:spacing w:before="0" w:after="283"/>
              <w:jc w:val="left"/>
              <w:rPr/>
            </w:pPr>
            <w:hyperlink w:anchor="fin_002">
              <w:r>
                <w:rPr>
                  <w:rStyle w:val="InternetLink"/>
                  <w:sz w:val="20"/>
                </w:rPr>
                <w:t>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F-3</w:t>
            </w:r>
          </w:p>
        </w:tc>
      </w:tr>
      <w:tr>
        <w:trPr/>
        <w:tc>
          <w:tcPr>
            <w:tcW w:w="7340" w:type="dxa"/>
            <w:tcBorders/>
            <w:shd w:fill="FFFFFF" w:val="clear"/>
            <w:vAlign w:val="center"/>
          </w:tcPr>
          <w:p>
            <w:pPr>
              <w:pStyle w:val="TableContents"/>
              <w:bidi w:val="0"/>
              <w:spacing w:before="0" w:after="283"/>
              <w:jc w:val="left"/>
              <w:rPr/>
            </w:pPr>
            <w:hyperlink w:anchor="fin_003">
              <w:r>
                <w:rPr>
                  <w:rStyle w:val="InternetLink"/>
                  <w:sz w:val="20"/>
                </w:rPr>
                <w:t>Consolidated Statement of Operations and Comprehensive Loss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F-4</w:t>
            </w:r>
          </w:p>
        </w:tc>
      </w:tr>
      <w:tr>
        <w:trPr/>
        <w:tc>
          <w:tcPr>
            <w:tcW w:w="7340" w:type="dxa"/>
            <w:tcBorders/>
            <w:shd w:fill="CCEEFF" w:val="clear"/>
            <w:vAlign w:val="center"/>
          </w:tcPr>
          <w:p>
            <w:pPr>
              <w:pStyle w:val="TableContents"/>
              <w:bidi w:val="0"/>
              <w:spacing w:before="0" w:after="283"/>
              <w:jc w:val="left"/>
              <w:rPr/>
            </w:pPr>
            <w:hyperlink w:anchor="fin_004">
              <w:r>
                <w:rPr>
                  <w:rStyle w:val="InternetLink"/>
                  <w:sz w:val="20"/>
                </w:rPr>
                <w:t>Consolidated Statement of Changes in Shareholders’ Deficit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F-5</w:t>
            </w:r>
          </w:p>
        </w:tc>
      </w:tr>
      <w:tr>
        <w:trPr/>
        <w:tc>
          <w:tcPr>
            <w:tcW w:w="7340" w:type="dxa"/>
            <w:tcBorders/>
            <w:shd w:fill="FFFFFF" w:val="clear"/>
            <w:vAlign w:val="center"/>
          </w:tcPr>
          <w:p>
            <w:pPr>
              <w:pStyle w:val="TableContents"/>
              <w:bidi w:val="0"/>
              <w:spacing w:before="0" w:after="283"/>
              <w:jc w:val="left"/>
              <w:rPr/>
            </w:pPr>
            <w:hyperlink w:anchor="fin_005">
              <w:r>
                <w:rPr>
                  <w:rStyle w:val="InternetLink"/>
                  <w:sz w:val="20"/>
                </w:rPr>
                <w:t>Consolidated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F-6</w:t>
            </w:r>
          </w:p>
        </w:tc>
      </w:tr>
      <w:tr>
        <w:trPr/>
        <w:tc>
          <w:tcPr>
            <w:tcW w:w="7340" w:type="dxa"/>
            <w:tcBorders/>
            <w:shd w:fill="CCEEFF" w:val="clear"/>
            <w:vAlign w:val="center"/>
          </w:tcPr>
          <w:p>
            <w:pPr>
              <w:pStyle w:val="TableContents"/>
              <w:bidi w:val="0"/>
              <w:spacing w:before="0" w:after="283"/>
              <w:jc w:val="left"/>
              <w:rPr/>
            </w:pPr>
            <w:hyperlink w:anchor="fin_006">
              <w:r>
                <w:rPr>
                  <w:rStyle w:val="InternetLink"/>
                  <w:sz w:val="20"/>
                </w:rPr>
                <w:t>Notes to Consolidated Financial Statements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Index </w:t>
      </w:r>
      <w:r>
        <w:rPr>
          <w:rFonts w:ascii="Times New Roman;Times;Serif" w:hAnsi="Times New Roman;Times;Serif"/>
          <w:b w:val="false"/>
          <w:i/>
          <w:caps w:val="false"/>
          <w:smallCaps w:val="false"/>
          <w:sz w:val="20"/>
        </w:rPr>
        <w:t>to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required information is included in the financial statements or the notes thereto, or because it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Index </w:t>
      </w:r>
      <w:r>
        <w:rPr>
          <w:rFonts w:ascii="Times New Roman;Times;Serif" w:hAnsi="Times New Roman;Times;Serif"/>
          <w:b w:val="false"/>
          <w:i/>
          <w:caps w:val="false"/>
          <w:smallCaps w:val="false"/>
          <w:sz w:val="20"/>
        </w:rPr>
        <w:t>to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exhibits listed under Part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1"/>
        <w:gridCol w:w="60"/>
        <w:gridCol w:w="9214"/>
      </w:tblGrid>
      <w:tr>
        <w:trPr/>
        <w:tc>
          <w:tcPr>
            <w:tcW w:w="931" w:type="dxa"/>
            <w:tcBorders>
              <w:bottom w:val="single" w:sz="12" w:space="0" w:color="000000"/>
            </w:tcBorders>
            <w:vAlign w:val="center"/>
          </w:tcPr>
          <w:p>
            <w:pPr>
              <w:pStyle w:val="TableContents"/>
              <w:bidi w:val="0"/>
              <w:spacing w:before="0" w:after="283"/>
              <w:jc w:val="left"/>
              <w:rPr>
                <w:b/>
              </w:rPr>
            </w:pPr>
            <w:r>
              <w:rPr>
                <w:b/>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214"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931"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4" w:type="dxa"/>
            <w:tcBorders/>
            <w:shd w:fill="CCEEFF" w:val="clear"/>
            <w:tcMar>
              <w:bottom w:w="0" w:type="dxa"/>
            </w:tcMar>
            <w:vAlign w:val="center"/>
          </w:tcPr>
          <w:p>
            <w:pPr>
              <w:pStyle w:val="TableContents"/>
              <w:bidi w:val="0"/>
              <w:spacing w:before="0" w:after="283"/>
              <w:jc w:val="left"/>
              <w:rPr/>
            </w:pPr>
            <w:hyperlink r:id="rId6">
              <w:r>
                <w:rPr>
                  <w:rStyle w:val="InternetLink"/>
                </w:rPr>
                <w:t>Business Combination Agreement, dated as of April 21, 2025, by and among GSR III Acquisition Corp. and Terra Innovatum, s.r.l. (incorporated by reference to Exhibit 2.1 to the Current Report on Form 8-K filed on April 25, 2025).</w:t>
              </w:r>
            </w:hyperlink>
          </w:p>
        </w:tc>
      </w:tr>
      <w:tr>
        <w:trPr/>
        <w:tc>
          <w:tcPr>
            <w:tcW w:w="931" w:type="dxa"/>
            <w:tcBorders/>
            <w:shd w:fill="FFFFFF" w:val="clear"/>
            <w:tcMar>
              <w:bottom w:w="0" w:type="dxa"/>
            </w:tcMar>
            <w:vAlign w:val="center"/>
          </w:tcPr>
          <w:p>
            <w:pPr>
              <w:pStyle w:val="TableContents"/>
              <w:bidi w:val="0"/>
              <w:spacing w:before="0" w:after="283"/>
              <w:jc w:val="lef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4" w:type="dxa"/>
            <w:tcBorders/>
            <w:shd w:fill="FFFFFF" w:val="clear"/>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"http://www.sec.gov/Archives/edgar/data/2029023/000121390025086741/ea0241384-10.htm" \l "T2024"</w:instrText>
            </w:r>
            <w:r>
              <w:rPr>
                <w:rStyle w:val="InternetLink"/>
              </w:rPr>
              <w:fldChar w:fldCharType="separate"/>
            </w:r>
            <w:r>
              <w:rPr>
                <w:rStyle w:val="InternetLink"/>
              </w:rPr>
              <w:t>Plan of Merger, dated as of October 9, 2025, by and among GSR III Acquisition Corp., GSR III Cayman Merger Sub and Terra Innovatum Global, N.V. (incorporated by reference to Annex B to the Registration Statement on Form S-4 (File No. 333-287271) filed on September 11, 2025.</w:t>
            </w:r>
            <w:r>
              <w:rPr>
                <w:rStyle w:val="InternetLink"/>
              </w:rPr>
              <w:fldChar w:fldCharType="end"/>
            </w:r>
          </w:p>
        </w:tc>
      </w:tr>
      <w:tr>
        <w:trPr/>
        <w:tc>
          <w:tcPr>
            <w:tcW w:w="931"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4" w:type="dxa"/>
            <w:tcBorders/>
            <w:shd w:fill="CCEEFF" w:val="clear"/>
            <w:tcMar>
              <w:bottom w:w="0" w:type="dxa"/>
            </w:tcMar>
            <w:vAlign w:val="center"/>
          </w:tcPr>
          <w:p>
            <w:pPr>
              <w:pStyle w:val="TableContents"/>
              <w:bidi w:val="0"/>
              <w:spacing w:before="0" w:after="283"/>
              <w:jc w:val="left"/>
              <w:rPr/>
            </w:pPr>
            <w:hyperlink r:id="rId7">
              <w:r>
                <w:rPr>
                  <w:rStyle w:val="InternetLink"/>
                </w:rPr>
                <w:t>English Translation of Certified Articles of Association of Terra Innovatum Global, N.V. (incorporated by reference to Exhibit 3.1 to the Current Report on Form 8-K filed on October 16, 2025).</w:t>
              </w:r>
            </w:hyperlink>
          </w:p>
        </w:tc>
      </w:tr>
      <w:tr>
        <w:trPr/>
        <w:tc>
          <w:tcPr>
            <w:tcW w:w="931"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4" w:type="dxa"/>
            <w:tcBorders/>
            <w:shd w:fill="FFFFFF" w:val="clear"/>
            <w:tcMar>
              <w:bottom w:w="0" w:type="dxa"/>
            </w:tcMar>
            <w:vAlign w:val="center"/>
          </w:tcPr>
          <w:p>
            <w:pPr>
              <w:pStyle w:val="TableContents"/>
              <w:bidi w:val="0"/>
              <w:spacing w:before="0" w:after="283"/>
              <w:jc w:val="left"/>
              <w:rPr/>
            </w:pPr>
            <w:hyperlink r:id="rId8">
              <w:r>
                <w:rPr>
                  <w:rStyle w:val="InternetLink"/>
                </w:rPr>
                <w:t>Board Regulations of Terra Innovatum Global, N.V. (incorporated by reference to Exhibit 3.2 to the Current Report on Form 8-K filed on October 16, 2025).</w:t>
              </w:r>
            </w:hyperlink>
          </w:p>
        </w:tc>
      </w:tr>
      <w:tr>
        <w:trPr/>
        <w:tc>
          <w:tcPr>
            <w:tcW w:w="931"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4" w:type="dxa"/>
            <w:tcBorders/>
            <w:shd w:fill="CCEEFF" w:val="clear"/>
            <w:tcMar>
              <w:bottom w:w="0" w:type="dxa"/>
            </w:tcMar>
            <w:vAlign w:val="center"/>
          </w:tcPr>
          <w:p>
            <w:pPr>
              <w:pStyle w:val="TableContents"/>
              <w:bidi w:val="0"/>
              <w:spacing w:before="0" w:after="283"/>
              <w:jc w:val="left"/>
              <w:rPr/>
            </w:pPr>
            <w:hyperlink r:id="rId9">
              <w:r>
                <w:rPr>
                  <w:rStyle w:val="InternetLink"/>
                </w:rPr>
                <w:t>Form of Terra Innovatum Global, N.V. Half Warrant (incorporated by reference to Exhibit 4.1 to the Current Report on Form 8-K filed on September 29, 2025).</w:t>
              </w:r>
            </w:hyperlink>
          </w:p>
        </w:tc>
      </w:tr>
      <w:tr>
        <w:trPr/>
        <w:tc>
          <w:tcPr>
            <w:tcW w:w="931" w:type="dxa"/>
            <w:tcBorders/>
            <w:shd w:fill="FFFFFF" w:val="clear"/>
            <w:tcMar>
              <w:bottom w:w="0" w:type="dxa"/>
            </w:tcMar>
            <w:vAlign w:val="center"/>
          </w:tcPr>
          <w:p>
            <w:pPr>
              <w:pStyle w:val="TableContents"/>
              <w:bidi w:val="0"/>
              <w:spacing w:before="0" w:after="283"/>
              <w:jc w:val="lef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4" w:type="dxa"/>
            <w:tcBorders/>
            <w:shd w:fill="FFFFFF" w:val="clear"/>
            <w:tcMar>
              <w:bottom w:w="0" w:type="dxa"/>
            </w:tcMar>
            <w:vAlign w:val="center"/>
          </w:tcPr>
          <w:p>
            <w:pPr>
              <w:pStyle w:val="TableContents"/>
              <w:bidi w:val="0"/>
              <w:spacing w:before="0" w:after="283"/>
              <w:jc w:val="left"/>
              <w:rPr/>
            </w:pPr>
            <w:hyperlink r:id="rId10">
              <w:r>
                <w:rPr>
                  <w:rStyle w:val="InternetLink"/>
                </w:rPr>
                <w:t>Form of Terra Innovatum Global, N.V. Quarter Warrant (incorporated by reference to Exhibit 4.2 to the Current Report on Form 8-K filed on September 29, 2025).</w:t>
              </w:r>
            </w:hyperlink>
          </w:p>
        </w:tc>
      </w:tr>
      <w:tr>
        <w:trPr/>
        <w:tc>
          <w:tcPr>
            <w:tcW w:w="931"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4" w:type="dxa"/>
            <w:tcBorders/>
            <w:shd w:fill="CCEEFF" w:val="clear"/>
            <w:tcMar>
              <w:bottom w:w="0" w:type="dxa"/>
            </w:tcMar>
            <w:vAlign w:val="center"/>
          </w:tcPr>
          <w:p>
            <w:pPr>
              <w:pStyle w:val="TableContents"/>
              <w:bidi w:val="0"/>
              <w:spacing w:before="0" w:after="283"/>
              <w:jc w:val="left"/>
              <w:rPr/>
            </w:pPr>
            <w:hyperlink r:id="rId11">
              <w:r>
                <w:rPr>
                  <w:rStyle w:val="InternetLink"/>
                </w:rPr>
                <w:t>Form of Bridge Warrants (incorporated by reference to Exhibit 4.3 to the Current Report on Form 8-K filed on October 16, 2025).</w:t>
              </w:r>
            </w:hyperlink>
          </w:p>
        </w:tc>
      </w:tr>
      <w:tr>
        <w:trPr/>
        <w:tc>
          <w:tcPr>
            <w:tcW w:w="931"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4" w:type="dxa"/>
            <w:tcBorders/>
            <w:shd w:fill="FFFFFF" w:val="clear"/>
            <w:tcMar>
              <w:bottom w:w="0" w:type="dxa"/>
            </w:tcMar>
            <w:vAlign w:val="center"/>
          </w:tcPr>
          <w:p>
            <w:pPr>
              <w:pStyle w:val="TableContents"/>
              <w:bidi w:val="0"/>
              <w:spacing w:before="0" w:after="283"/>
              <w:jc w:val="left"/>
              <w:rPr/>
            </w:pPr>
            <w:hyperlink r:id="rId12">
              <w:r>
                <w:rPr>
                  <w:rStyle w:val="InternetLink"/>
                </w:rPr>
                <w:t>Description of Securities.</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3"/>
        <w:gridCol w:w="60"/>
        <w:gridCol w:w="9412"/>
      </w:tblGrid>
      <w:tr>
        <w:trPr/>
        <w:tc>
          <w:tcPr>
            <w:tcW w:w="733" w:type="dxa"/>
            <w:tcBorders/>
            <w:shd w:fill="CCEEFF" w:val="clear"/>
            <w:vAlign w:val="center"/>
          </w:tcPr>
          <w:p>
            <w:pPr>
              <w:pStyle w:val="TableContents"/>
              <w:bidi w:val="0"/>
              <w:spacing w:before="0" w:after="283"/>
              <w:jc w:val="left"/>
              <w:rPr/>
            </w:pPr>
            <w:r>
              <w:rPr/>
              <w:t>10.1</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13">
              <w:r>
                <w:rPr>
                  <w:rStyle w:val="InternetLink"/>
                </w:rPr>
                <w:t>Form of Amended and Restated Registration Rights Agreement, dated October 9, 2025 by and among Terra Innovatum Global, N.V. and the holders party thereto (incorporated by reference to Exhibit 10.1 to the Current Report on Form 8-K filed on October 16, 2025).</w:t>
              </w:r>
            </w:hyperlink>
          </w:p>
        </w:tc>
      </w:tr>
      <w:tr>
        <w:trPr/>
        <w:tc>
          <w:tcPr>
            <w:tcW w:w="733" w:type="dxa"/>
            <w:tcBorders/>
            <w:shd w:fill="FFFFFF" w:val="clear"/>
            <w:vAlign w:val="center"/>
          </w:tcPr>
          <w:p>
            <w:pPr>
              <w:pStyle w:val="TableContents"/>
              <w:bidi w:val="0"/>
              <w:spacing w:before="0" w:after="283"/>
              <w:jc w:val="left"/>
              <w:rPr/>
            </w:pPr>
            <w:r>
              <w:rPr/>
              <w:t>10.2</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14">
              <w:r>
                <w:rPr>
                  <w:rStyle w:val="InternetLink"/>
                </w:rPr>
                <w:t>Sponsor Support Agreement, dated as of April 21, 2025, by and among GSR III Acquisition Corp., Terra Innovatum s.r.l, and GSR III Sponsor LLC. (incorporated by reference to Exhibit 10.1 to the Current Report on Form 8-K filed on April 25, 2025).</w:t>
              </w:r>
            </w:hyperlink>
          </w:p>
        </w:tc>
      </w:tr>
      <w:tr>
        <w:trPr/>
        <w:tc>
          <w:tcPr>
            <w:tcW w:w="733" w:type="dxa"/>
            <w:tcBorders/>
            <w:shd w:fill="CCEEFF" w:val="clear"/>
            <w:vAlign w:val="center"/>
          </w:tcPr>
          <w:p>
            <w:pPr>
              <w:pStyle w:val="TableContents"/>
              <w:bidi w:val="0"/>
              <w:spacing w:before="0" w:after="283"/>
              <w:jc w:val="left"/>
              <w:rPr/>
            </w:pPr>
            <w:r>
              <w:rPr/>
              <w:t>10.3</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15">
              <w:r>
                <w:rPr>
                  <w:rStyle w:val="InternetLink"/>
                </w:rPr>
                <w:t>First Amendment to the Sponsor Support Agreement, dated October 9, 2025, by and among GSR III Acquisition Corp., Terra Innovatum s.r.l, and GSR III Sponsor LLC (incorporated by reference to Exhibit 10.3 to the Current Report on Form 8-K filed on October 16, 2025)</w:t>
              </w:r>
            </w:hyperlink>
          </w:p>
        </w:tc>
      </w:tr>
      <w:tr>
        <w:trPr/>
        <w:tc>
          <w:tcPr>
            <w:tcW w:w="733" w:type="dxa"/>
            <w:tcBorders/>
            <w:shd w:fill="FFFFFF" w:val="clear"/>
            <w:vAlign w:val="center"/>
          </w:tcPr>
          <w:p>
            <w:pPr>
              <w:pStyle w:val="TableContents"/>
              <w:bidi w:val="0"/>
              <w:spacing w:before="0" w:after="283"/>
              <w:jc w:val="left"/>
              <w:rPr/>
            </w:pPr>
            <w:r>
              <w:rPr/>
              <w:t>10.4+</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16">
              <w:r>
                <w:rPr>
                  <w:rStyle w:val="InternetLink"/>
                </w:rPr>
                <w:t>Form of Securities Subscription Agreement (incorporated by reference to Exhibit 10.1 to the Current Report on Form 8-K filed on September 29, 2025).</w:t>
              </w:r>
            </w:hyperlink>
          </w:p>
        </w:tc>
      </w:tr>
      <w:tr>
        <w:trPr/>
        <w:tc>
          <w:tcPr>
            <w:tcW w:w="733" w:type="dxa"/>
            <w:tcBorders/>
            <w:shd w:fill="CCEEFF" w:val="clear"/>
            <w:vAlign w:val="center"/>
          </w:tcPr>
          <w:p>
            <w:pPr>
              <w:pStyle w:val="TableContents"/>
              <w:bidi w:val="0"/>
              <w:spacing w:before="0" w:after="283"/>
              <w:jc w:val="left"/>
              <w:rPr/>
            </w:pPr>
            <w:r>
              <w:rPr/>
              <w:t>10.5</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17">
              <w:r>
                <w:rPr>
                  <w:rStyle w:val="InternetLink"/>
                </w:rPr>
                <w:t>Assignment and Assumption Agreement, dated October 9, 2025 (incorporated by reference to Exhibit 10.5 to the Current Report on Form 8-K filed on October 16, 2025).</w:t>
              </w:r>
            </w:hyperlink>
          </w:p>
        </w:tc>
      </w:tr>
      <w:tr>
        <w:trPr/>
        <w:tc>
          <w:tcPr>
            <w:tcW w:w="733" w:type="dxa"/>
            <w:tcBorders/>
            <w:shd w:fill="FFFFFF" w:val="clear"/>
            <w:vAlign w:val="center"/>
          </w:tcPr>
          <w:p>
            <w:pPr>
              <w:pStyle w:val="TableContents"/>
              <w:bidi w:val="0"/>
              <w:spacing w:before="0" w:after="283"/>
              <w:jc w:val="left"/>
              <w:rPr/>
            </w:pPr>
            <w:r>
              <w:rPr/>
              <w:t>10.6+</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r>
              <w:fldChar w:fldCharType="begin"/>
            </w:r>
            <w:r>
              <w:rPr>
                <w:rStyle w:val="InternetLink"/>
              </w:rPr>
              <w:instrText xml:space="preserve"> HYPERLINK "http://www.sec.gov/Archives/edgar/data/2029023/000121390025086741/ea0241384-10.htm" \l "T556"</w:instrText>
            </w:r>
            <w:r>
              <w:rPr>
                <w:rStyle w:val="InternetLink"/>
              </w:rPr>
              <w:fldChar w:fldCharType="separate"/>
            </w:r>
            <w:r>
              <w:rPr>
                <w:rStyle w:val="InternetLink"/>
              </w:rPr>
              <w:t>Terra Innovatum Global, N.V. 2025 Equity Incentive Plan (incorporated by reference to Annex G to the Registration Statement on Form S-4 (File No. 333-287271) filed on September 11, 2025).</w:t>
            </w:r>
            <w:r>
              <w:rPr>
                <w:rStyle w:val="InternetLink"/>
              </w:rPr>
              <w:fldChar w:fldCharType="end"/>
            </w:r>
          </w:p>
        </w:tc>
      </w:tr>
      <w:tr>
        <w:trPr/>
        <w:tc>
          <w:tcPr>
            <w:tcW w:w="733" w:type="dxa"/>
            <w:tcBorders/>
            <w:shd w:fill="CCEEFF" w:val="clear"/>
            <w:vAlign w:val="center"/>
          </w:tcPr>
          <w:p>
            <w:pPr>
              <w:pStyle w:val="TableContents"/>
              <w:bidi w:val="0"/>
              <w:spacing w:before="0" w:after="283"/>
              <w:jc w:val="left"/>
              <w:rPr/>
            </w:pPr>
            <w:r>
              <w:rPr/>
              <w:t>10.7+</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18">
              <w:r>
                <w:rPr>
                  <w:rStyle w:val="InternetLink"/>
                </w:rPr>
                <w:t>Form of Directorship Agreement between Terra Innovatum Global N.V. and Alessandro Petruzzi (incorporated by reference to Exhibit 10.1 to the Current Report on Form 8-K filed on December 23, 2025).</w:t>
              </w:r>
            </w:hyperlink>
          </w:p>
        </w:tc>
      </w:tr>
      <w:tr>
        <w:trPr/>
        <w:tc>
          <w:tcPr>
            <w:tcW w:w="733" w:type="dxa"/>
            <w:tcBorders/>
            <w:shd w:fill="FFFFFF" w:val="clear"/>
            <w:vAlign w:val="center"/>
          </w:tcPr>
          <w:p>
            <w:pPr>
              <w:pStyle w:val="TableContents"/>
              <w:bidi w:val="0"/>
              <w:spacing w:before="0" w:after="283"/>
              <w:jc w:val="left"/>
              <w:rPr/>
            </w:pPr>
            <w:r>
              <w:rPr/>
              <w:t>10.8+</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19">
              <w:r>
                <w:rPr>
                  <w:rStyle w:val="InternetLink"/>
                </w:rPr>
                <w:t>Form of Directorship Agreement between Terra Innovatum Global N.V. and Massimo Morichi (incorporated by reference to Exhibit 10.2 to the Current Report on Form 8-K filed on December 23, 2025).</w:t>
              </w:r>
            </w:hyperlink>
          </w:p>
        </w:tc>
      </w:tr>
      <w:tr>
        <w:trPr/>
        <w:tc>
          <w:tcPr>
            <w:tcW w:w="733" w:type="dxa"/>
            <w:tcBorders/>
            <w:shd w:fill="CCEEFF" w:val="clear"/>
            <w:vAlign w:val="center"/>
          </w:tcPr>
          <w:p>
            <w:pPr>
              <w:pStyle w:val="TableContents"/>
              <w:bidi w:val="0"/>
              <w:spacing w:before="0" w:after="283"/>
              <w:jc w:val="left"/>
              <w:rPr/>
            </w:pPr>
            <w:r>
              <w:rPr/>
              <w:t>10.9+</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20">
              <w:r>
                <w:rPr>
                  <w:rStyle w:val="InternetLink"/>
                </w:rPr>
                <w:t>Form of Directorship Agreement between Terra Innovatum Global N.V. and Cesare Frepoli (incorporated by reference to Exhibit 10.3 to the Current Report on Form 8-K filed on December 23, 2025).</w:t>
              </w:r>
            </w:hyperlink>
          </w:p>
        </w:tc>
      </w:tr>
      <w:tr>
        <w:trPr/>
        <w:tc>
          <w:tcPr>
            <w:tcW w:w="733" w:type="dxa"/>
            <w:tcBorders/>
            <w:shd w:fill="FFFFFF" w:val="clear"/>
            <w:vAlign w:val="center"/>
          </w:tcPr>
          <w:p>
            <w:pPr>
              <w:pStyle w:val="TableContents"/>
              <w:bidi w:val="0"/>
              <w:spacing w:before="0" w:after="283"/>
              <w:jc w:val="left"/>
              <w:rPr/>
            </w:pPr>
            <w:r>
              <w:rPr/>
              <w:t>10.10+*</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21">
              <w:r>
                <w:rPr>
                  <w:rStyle w:val="InternetLink"/>
                </w:rPr>
                <w:t>Appointment Letter between Terra Innovatum Global N.V. and Peter Hastings, dated December 2, 2025.</w:t>
              </w:r>
            </w:hyperlink>
          </w:p>
        </w:tc>
      </w:tr>
      <w:tr>
        <w:trPr/>
        <w:tc>
          <w:tcPr>
            <w:tcW w:w="733" w:type="dxa"/>
            <w:tcBorders/>
            <w:shd w:fill="CCEEFF" w:val="clear"/>
            <w:vAlign w:val="center"/>
          </w:tcPr>
          <w:p>
            <w:pPr>
              <w:pStyle w:val="TableContents"/>
              <w:bidi w:val="0"/>
              <w:spacing w:before="0" w:after="283"/>
              <w:jc w:val="left"/>
              <w:rPr/>
            </w:pPr>
            <w:r>
              <w:rPr/>
              <w:t>10.11+*</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22">
              <w:r>
                <w:rPr>
                  <w:rStyle w:val="InternetLink"/>
                </w:rPr>
                <w:t>Appointment Letter between Terra Innovatum Global N.V. and Rex Jackson, dated December 1, 2025.</w:t>
              </w:r>
            </w:hyperlink>
          </w:p>
        </w:tc>
      </w:tr>
      <w:tr>
        <w:trPr/>
        <w:tc>
          <w:tcPr>
            <w:tcW w:w="733" w:type="dxa"/>
            <w:tcBorders/>
            <w:shd w:fill="FFFFFF" w:val="clear"/>
            <w:vAlign w:val="center"/>
          </w:tcPr>
          <w:p>
            <w:pPr>
              <w:pStyle w:val="TableContents"/>
              <w:bidi w:val="0"/>
              <w:spacing w:before="0" w:after="283"/>
              <w:jc w:val="left"/>
              <w:rPr/>
            </w:pPr>
            <w:r>
              <w:rPr/>
              <w:t>10.12+*</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23">
              <w:r>
                <w:rPr>
                  <w:rStyle w:val="InternetLink"/>
                </w:rPr>
                <w:t>Appointment Letter between Terra Innovatum Global N.V. and Michael Howard, dated December 2, 2025.</w:t>
              </w:r>
            </w:hyperlink>
          </w:p>
        </w:tc>
      </w:tr>
      <w:tr>
        <w:trPr/>
        <w:tc>
          <w:tcPr>
            <w:tcW w:w="733" w:type="dxa"/>
            <w:tcBorders/>
            <w:shd w:fill="CCEEFF" w:val="clear"/>
            <w:vAlign w:val="center"/>
          </w:tcPr>
          <w:p>
            <w:pPr>
              <w:pStyle w:val="TableContents"/>
              <w:bidi w:val="0"/>
              <w:spacing w:before="0" w:after="283"/>
              <w:jc w:val="left"/>
              <w:rPr/>
            </w:pPr>
            <w:r>
              <w:rPr/>
              <w:t>10.13+*</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24">
              <w:r>
                <w:rPr>
                  <w:rStyle w:val="InternetLink"/>
                </w:rPr>
                <w:t>Appointment Letter between Terra Innovatum Global N.V. and Katherine Williams, dated December 4, 2025.</w:t>
              </w:r>
            </w:hyperlink>
          </w:p>
        </w:tc>
      </w:tr>
      <w:tr>
        <w:trPr/>
        <w:tc>
          <w:tcPr>
            <w:tcW w:w="733" w:type="dxa"/>
            <w:tcBorders/>
            <w:shd w:fill="FFFFFF" w:val="clear"/>
            <w:vAlign w:val="center"/>
          </w:tcPr>
          <w:p>
            <w:pPr>
              <w:pStyle w:val="TableContents"/>
              <w:bidi w:val="0"/>
              <w:spacing w:before="0" w:after="283"/>
              <w:jc w:val="left"/>
              <w:rPr/>
            </w:pPr>
            <w:r>
              <w:rPr/>
              <w:t>10.14+*</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25">
              <w:r>
                <w:rPr>
                  <w:rStyle w:val="InternetLink"/>
                </w:rPr>
                <w:t>Addendum Service Agreement between Terra Innovatum Global N.V. and Katherine Williams, dated December 10, 2025.</w:t>
              </w:r>
            </w:hyperlink>
          </w:p>
        </w:tc>
      </w:tr>
      <w:tr>
        <w:trPr/>
        <w:tc>
          <w:tcPr>
            <w:tcW w:w="733" w:type="dxa"/>
            <w:tcBorders/>
            <w:shd w:fill="CCEEFF" w:val="clear"/>
            <w:vAlign w:val="center"/>
          </w:tcPr>
          <w:p>
            <w:pPr>
              <w:pStyle w:val="TableContents"/>
              <w:bidi w:val="0"/>
              <w:spacing w:before="0" w:after="283"/>
              <w:jc w:val="left"/>
              <w:rPr/>
            </w:pPr>
            <w:r>
              <w:rPr/>
              <w:t>19.1</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26">
              <w:r>
                <w:rPr>
                  <w:rStyle w:val="InternetLink"/>
                </w:rPr>
                <w:t>Insider Trading Policy (incorporated by reference to Exhibit 99.7 to the Current Report on Form 8-K filed on October 16, 2025).</w:t>
              </w:r>
            </w:hyperlink>
          </w:p>
        </w:tc>
      </w:tr>
      <w:tr>
        <w:trPr/>
        <w:tc>
          <w:tcPr>
            <w:tcW w:w="733" w:type="dxa"/>
            <w:tcBorders/>
            <w:shd w:fill="FFFFFF" w:val="clear"/>
            <w:vAlign w:val="center"/>
          </w:tcPr>
          <w:p>
            <w:pPr>
              <w:pStyle w:val="TableContents"/>
              <w:bidi w:val="0"/>
              <w:spacing w:before="0" w:after="283"/>
              <w:jc w:val="left"/>
              <w:rPr/>
            </w:pPr>
            <w:r>
              <w:rPr/>
              <w:t>21.1*</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27">
              <w:r>
                <w:rPr>
                  <w:rStyle w:val="InternetLink"/>
                </w:rPr>
                <w:t>List of Subsidiaries</w:t>
              </w:r>
            </w:hyperlink>
          </w:p>
        </w:tc>
      </w:tr>
      <w:tr>
        <w:trPr/>
        <w:tc>
          <w:tcPr>
            <w:tcW w:w="733" w:type="dxa"/>
            <w:tcBorders/>
            <w:shd w:fill="CCEEFF" w:val="clear"/>
            <w:vAlign w:val="center"/>
          </w:tcPr>
          <w:p>
            <w:pPr>
              <w:pStyle w:val="TableContents"/>
              <w:bidi w:val="0"/>
              <w:spacing w:before="0" w:after="283"/>
              <w:jc w:val="left"/>
              <w:rPr/>
            </w:pPr>
            <w:r>
              <w:rPr/>
              <w:t>23.1*</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28">
              <w:r>
                <w:rPr>
                  <w:rStyle w:val="InternetLink"/>
                </w:rPr>
                <w:t>Consent of KPMG Accountants N.V., Independent Registered Accounting Firm.</w:t>
              </w:r>
            </w:hyperlink>
          </w:p>
        </w:tc>
      </w:tr>
      <w:tr>
        <w:trPr/>
        <w:tc>
          <w:tcPr>
            <w:tcW w:w="733" w:type="dxa"/>
            <w:tcBorders/>
            <w:shd w:fill="FFFFFF" w:val="clear"/>
            <w:vAlign w:val="center"/>
          </w:tcPr>
          <w:p>
            <w:pPr>
              <w:pStyle w:val="TableContents"/>
              <w:bidi w:val="0"/>
              <w:spacing w:before="0" w:after="283"/>
              <w:jc w:val="left"/>
              <w:rPr/>
            </w:pPr>
            <w:r>
              <w:rPr/>
              <w:t>31.1*</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29">
              <w:r>
                <w:rPr>
                  <w:rStyle w:val="InternetLink"/>
                </w:rPr>
                <w:t>Certification of Principal Executive Officer pursuant to Exchange Act Rules 13a-14(a) and 15d-14(a), as adopted pursuant to Section 302 of the Sarbanes-Oxley Act of 2002.</w:t>
              </w:r>
            </w:hyperlink>
          </w:p>
        </w:tc>
      </w:tr>
      <w:tr>
        <w:trPr/>
        <w:tc>
          <w:tcPr>
            <w:tcW w:w="733" w:type="dxa"/>
            <w:tcBorders/>
            <w:shd w:fill="CCEEFF" w:val="clear"/>
            <w:vAlign w:val="center"/>
          </w:tcPr>
          <w:p>
            <w:pPr>
              <w:pStyle w:val="TableContents"/>
              <w:bidi w:val="0"/>
              <w:spacing w:before="0" w:after="283"/>
              <w:jc w:val="left"/>
              <w:rPr/>
            </w:pPr>
            <w:r>
              <w:rPr/>
              <w:t>31.2*</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30">
              <w:r>
                <w:rPr>
                  <w:rStyle w:val="InternetLink"/>
                </w:rPr>
                <w:t>Certification of Principal Financial Officer pursuant to Exchange Act Rules 13a-14(a) and 15d-14(a), as adopted pursuant to Section 302 of the Sarbanes-Oxley Act of 2002.</w:t>
              </w:r>
            </w:hyperlink>
          </w:p>
        </w:tc>
      </w:tr>
      <w:tr>
        <w:trPr/>
        <w:tc>
          <w:tcPr>
            <w:tcW w:w="733" w:type="dxa"/>
            <w:tcBorders/>
            <w:shd w:fill="FFFFFF" w:val="clear"/>
            <w:vAlign w:val="center"/>
          </w:tcPr>
          <w:p>
            <w:pPr>
              <w:pStyle w:val="TableContents"/>
              <w:bidi w:val="0"/>
              <w:spacing w:before="0" w:after="283"/>
              <w:jc w:val="left"/>
              <w:rPr/>
            </w:pPr>
            <w:r>
              <w:rPr/>
              <w:t>32.1*</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31">
              <w:r>
                <w:rPr>
                  <w:rStyle w:val="InternetLink"/>
                </w:rPr>
                <w:t>Certification of Principal Executive Officer pursuant to 18 U.S.C. Section 1350, as adopted pursuant to Section 906 of the Sarbanes-Oxley Act of 2002.</w:t>
              </w:r>
            </w:hyperlink>
          </w:p>
        </w:tc>
      </w:tr>
      <w:tr>
        <w:trPr/>
        <w:tc>
          <w:tcPr>
            <w:tcW w:w="733" w:type="dxa"/>
            <w:tcBorders/>
            <w:shd w:fill="CCEEFF" w:val="clear"/>
            <w:vAlign w:val="center"/>
          </w:tcPr>
          <w:p>
            <w:pPr>
              <w:pStyle w:val="TableContents"/>
              <w:bidi w:val="0"/>
              <w:spacing w:before="0" w:after="283"/>
              <w:jc w:val="left"/>
              <w:rPr/>
            </w:pPr>
            <w:r>
              <w:rPr/>
              <w:t>32.2*</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hyperlink r:id="rId32">
              <w:r>
                <w:rPr>
                  <w:rStyle w:val="InternetLink"/>
                </w:rPr>
                <w:t>Certification of Principal Financial Officer pursuant to 18 U.S.C. Section 1350, as adopted pursuant to Section 906 of the Sarbanes-Oxley Act of 2002.</w:t>
              </w:r>
            </w:hyperlink>
          </w:p>
        </w:tc>
      </w:tr>
      <w:tr>
        <w:trPr/>
        <w:tc>
          <w:tcPr>
            <w:tcW w:w="733" w:type="dxa"/>
            <w:tcBorders/>
            <w:shd w:fill="FFFFFF" w:val="clear"/>
            <w:vAlign w:val="center"/>
          </w:tcPr>
          <w:p>
            <w:pPr>
              <w:pStyle w:val="TableContents"/>
              <w:bidi w:val="0"/>
              <w:spacing w:before="0" w:after="283"/>
              <w:jc w:val="left"/>
              <w:rPr/>
            </w:pPr>
            <w:r>
              <w:rPr/>
              <w:t>97.1</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hyperlink r:id="rId33">
              <w:r>
                <w:rPr>
                  <w:rStyle w:val="InternetLink"/>
                </w:rPr>
                <w:t>Compensation Recovery Policy (incorporated by reference to Exhibit 99.6 to the Current Report on Form 8-K filed on October 16, 2025).</w:t>
              </w:r>
            </w:hyperlink>
          </w:p>
        </w:tc>
      </w:tr>
      <w:tr>
        <w:trPr/>
        <w:tc>
          <w:tcPr>
            <w:tcW w:w="733" w:type="dxa"/>
            <w:tcBorders/>
            <w:shd w:fill="CCEEFF" w:val="clear"/>
            <w:vAlign w:val="center"/>
          </w:tcPr>
          <w:p>
            <w:pPr>
              <w:pStyle w:val="TableContents"/>
              <w:bidi w:val="0"/>
              <w:spacing w:before="0" w:after="283"/>
              <w:jc w:val="left"/>
              <w:rPr/>
            </w:pPr>
            <w:r>
              <w:rPr/>
              <w:t>101.INS*</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r>
              <w:rPr/>
              <w:t>Inline XBRL Instance Document (the instance document does not appear in the Interactive Data File because iXBRL tags are embedded within the Inline XBRL document).</w:t>
            </w:r>
          </w:p>
        </w:tc>
      </w:tr>
      <w:tr>
        <w:trPr/>
        <w:tc>
          <w:tcPr>
            <w:tcW w:w="733" w:type="dxa"/>
            <w:tcBorders/>
            <w:shd w:fill="FFFFFF" w:val="clear"/>
            <w:vAlign w:val="center"/>
          </w:tcPr>
          <w:p>
            <w:pPr>
              <w:pStyle w:val="TableContents"/>
              <w:bidi w:val="0"/>
              <w:spacing w:before="0" w:after="283"/>
              <w:jc w:val="left"/>
              <w:rPr/>
            </w:pPr>
            <w:r>
              <w:rPr/>
              <w:t>101.SCH*</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r>
              <w:rPr/>
              <w:t>Inline XBRL Taxonomy Extension Schema Document</w:t>
            </w:r>
          </w:p>
        </w:tc>
      </w:tr>
      <w:tr>
        <w:trPr/>
        <w:tc>
          <w:tcPr>
            <w:tcW w:w="733" w:type="dxa"/>
            <w:tcBorders/>
            <w:shd w:fill="CCEEFF" w:val="clear"/>
            <w:vAlign w:val="center"/>
          </w:tcPr>
          <w:p>
            <w:pPr>
              <w:pStyle w:val="TableContents"/>
              <w:bidi w:val="0"/>
              <w:spacing w:before="0" w:after="283"/>
              <w:jc w:val="left"/>
              <w:rPr/>
            </w:pPr>
            <w:r>
              <w:rPr/>
              <w:t>101.CAL*</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r>
              <w:rPr/>
              <w:t>Inline XBRL Taxonomy Extension Calculation Linkbase Document</w:t>
            </w:r>
          </w:p>
        </w:tc>
      </w:tr>
      <w:tr>
        <w:trPr/>
        <w:tc>
          <w:tcPr>
            <w:tcW w:w="733" w:type="dxa"/>
            <w:tcBorders/>
            <w:shd w:fill="FFFFFF" w:val="clear"/>
            <w:vAlign w:val="center"/>
          </w:tcPr>
          <w:p>
            <w:pPr>
              <w:pStyle w:val="TableContents"/>
              <w:bidi w:val="0"/>
              <w:spacing w:before="0" w:after="283"/>
              <w:jc w:val="left"/>
              <w:rPr/>
            </w:pPr>
            <w:r>
              <w:rPr/>
              <w:t>101.DEF*</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r>
              <w:rPr/>
              <w:t>Inline XBRL Taxonomy Extension Definition Linkbase Document</w:t>
            </w:r>
          </w:p>
        </w:tc>
      </w:tr>
      <w:tr>
        <w:trPr/>
        <w:tc>
          <w:tcPr>
            <w:tcW w:w="733" w:type="dxa"/>
            <w:tcBorders/>
            <w:shd w:fill="CCEEFF" w:val="clear"/>
            <w:vAlign w:val="center"/>
          </w:tcPr>
          <w:p>
            <w:pPr>
              <w:pStyle w:val="TableContents"/>
              <w:bidi w:val="0"/>
              <w:spacing w:before="0" w:after="283"/>
              <w:jc w:val="left"/>
              <w:rPr/>
            </w:pPr>
            <w:r>
              <w:rPr/>
              <w:t>101.LAB*</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r>
              <w:rPr/>
              <w:t>Inline XBRL Taxonomy Extension Labels Linkbase Document</w:t>
            </w:r>
          </w:p>
        </w:tc>
      </w:tr>
      <w:tr>
        <w:trPr/>
        <w:tc>
          <w:tcPr>
            <w:tcW w:w="733" w:type="dxa"/>
            <w:tcBorders/>
            <w:shd w:fill="FFFFFF" w:val="clear"/>
            <w:vAlign w:val="center"/>
          </w:tcPr>
          <w:p>
            <w:pPr>
              <w:pStyle w:val="TableContents"/>
              <w:bidi w:val="0"/>
              <w:spacing w:before="0" w:after="283"/>
              <w:jc w:val="left"/>
              <w:rPr/>
            </w:pPr>
            <w:r>
              <w:rPr/>
              <w:t>101.PRE*</w:t>
            </w:r>
          </w:p>
        </w:tc>
        <w:tc>
          <w:tcPr>
            <w:tcW w:w="60" w:type="dxa"/>
            <w:tcBorders/>
            <w:shd w:fill="FFFFFF" w:val="clear"/>
            <w:vAlign w:val="center"/>
          </w:tcPr>
          <w:p>
            <w:pPr>
              <w:pStyle w:val="TableContents"/>
              <w:bidi w:val="0"/>
              <w:spacing w:before="0" w:after="283"/>
              <w:jc w:val="left"/>
              <w:rPr/>
            </w:pPr>
            <w:r>
              <w:rPr/>
              <w:t> </w:t>
            </w:r>
          </w:p>
        </w:tc>
        <w:tc>
          <w:tcPr>
            <w:tcW w:w="9412" w:type="dxa"/>
            <w:tcBorders/>
            <w:shd w:fill="FFFFFF" w:val="clear"/>
            <w:vAlign w:val="center"/>
          </w:tcPr>
          <w:p>
            <w:pPr>
              <w:pStyle w:val="TableContents"/>
              <w:bidi w:val="0"/>
              <w:spacing w:before="0" w:after="283"/>
              <w:jc w:val="left"/>
              <w:rPr/>
            </w:pPr>
            <w:r>
              <w:rPr/>
              <w:t>Inline XBRL Taxonomy Extension Presentation Linkbase Document</w:t>
            </w:r>
          </w:p>
        </w:tc>
      </w:tr>
      <w:tr>
        <w:trPr/>
        <w:tc>
          <w:tcPr>
            <w:tcW w:w="733"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9412" w:type="dxa"/>
            <w:tcBorders/>
            <w:shd w:fill="CCEEFF" w:val="clear"/>
            <w:vAlign w:val="center"/>
          </w:tcPr>
          <w:p>
            <w:pPr>
              <w:pStyle w:val="TableContents"/>
              <w:bidi w:val="0"/>
              <w:spacing w:before="0" w:after="283"/>
              <w:jc w:val="left"/>
              <w:rPr/>
            </w:pPr>
            <w:r>
              <w:rPr/>
              <w:t>Cover page from the Company’s Annual Report on Form 10-K for the year ended December 31, 2025 formatted in Inline XBRL (included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left"/>
              <w:rPr/>
            </w:pPr>
            <w:r>
              <w:rPr/>
              <w:t>Filed herewith</w:t>
            </w:r>
          </w:p>
        </w:tc>
      </w:tr>
    </w:tbl>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pPr>
            <w:r>
              <w:rPr/>
              <w:t>Indicates a management or compensatory plan.</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Certain schedules and similar attachments to this Exhibit have been omitted in accordance with Item 601(a)(5) of Regulation S-K. The registrant agrees to furnish supplementally a copy of any omitted exhibit or schedule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fin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br/>
        <w:t>Terra Innovatum Global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Terra Innovatum Global N.V. and subsidiaries (the Company) as of December 31, 2025, the related consolidated statements of operations and comprehensive loss, changes in shareholders’ deficit, and cash flows for the year ended December 31, 2025,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Accountants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Amstelveen, the Netherlands</w:t>
        <w:br/>
        <w:t>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KSA_001"/>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Quotaholders and Board of Directors of</w:t>
        <w:br/>
        <w:t>Terra Innovatum S.R.L.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Terra Innovatum S.R.L. (the “Company”) as of December 31, 2024, and the related statements of operations and comprehensive loss, changes in quotaholders’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2 to the financial statements, the Company has suffered recurring losses from operations and negative cash flows from operations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MaloneBailey, LLP</w:t>
        <w:br/>
      </w:r>
      <w:r>
        <w:rPr>
          <w:rFonts w:ascii="Times New Roman;Times;Serif" w:hAnsi="Times New Roman;Times;Serif"/>
          <w:b w:val="false"/>
          <w:i w:val="false"/>
          <w:caps w:val="false"/>
          <w:smallCaps w:val="false"/>
          <w:sz w:val="20"/>
          <w:u w:val="single"/>
        </w:rPr>
        <w:t>www.malonebailey.com</w:t>
        <w:br/>
      </w:r>
      <w:r>
        <w:rPr>
          <w:rFonts w:ascii="Times New Roman;Times;Serif" w:hAnsi="Times New Roman;Times;Serif"/>
          <w:b w:val="false"/>
          <w:i w:val="false"/>
          <w:caps w:val="false"/>
          <w:smallCaps w:val="false"/>
          <w:sz w:val="20"/>
        </w:rPr>
        <w:t>We served as the Company’s auditor from 2025 through 2026.</w:t>
        <w:br/>
        <w:t>Houston, Texas</w:t>
        <w:br/>
        <w:t>May 14,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fin_002"/>
      <w:bookmarkEnd w:id="30"/>
      <w:r>
        <w:rPr>
          <w:rFonts w:ascii="Times New Roman;Times;Serif" w:hAnsi="Times New Roman;Times;Serif"/>
          <w:b/>
          <w:i w:val="false"/>
          <w:caps w:val="false"/>
          <w:smallCaps w:val="false"/>
          <w:sz w:val="20"/>
        </w:rPr>
        <w:t>Terra Innovatum Global N.V.</w:t>
        <w:br/>
        <w:t>(formerly Terra Innovatum Global Srl.)</w:t>
        <w:br/>
        <w:t>Consolidated Balance Sheets</w:t>
        <w:br/>
      </w:r>
      <w:r>
        <w:rPr>
          <w:rFonts w:ascii="Times New Roman;Times;Serif" w:hAnsi="Times New Roman;Times;Serif"/>
          <w:b/>
          <w:i/>
          <w:caps w:val="false"/>
          <w:smallCaps w:val="false"/>
          <w:sz w:val="20"/>
        </w:rPr>
        <w:t>(all amounts in USD)(in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5"/>
        <w:gridCol w:w="60"/>
        <w:gridCol w:w="140"/>
        <w:gridCol w:w="875"/>
        <w:gridCol w:w="95"/>
        <w:gridCol w:w="60"/>
        <w:gridCol w:w="140"/>
        <w:gridCol w:w="455"/>
        <w:gridCol w:w="515"/>
      </w:tblGrid>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51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1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86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right"/>
              <w:rPr/>
            </w:pPr>
            <w:r>
              <w:rPr/>
              <w:t> </w:t>
            </w:r>
          </w:p>
        </w:tc>
        <w:tc>
          <w:tcPr>
            <w:tcW w:w="515" w:type="dxa"/>
            <w:tcBorders/>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102,882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69</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65</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106,034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134</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134</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b/>
              </w:rPr>
            </w:pPr>
            <w:r>
              <w:rPr>
                <w:b/>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32</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53</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Related party loan,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107</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Share-settled contingent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186,323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hanging="180"/>
              <w:jc w:val="left"/>
              <w:rPr/>
            </w:pPr>
            <w:r>
              <w:rPr/>
              <w:t> </w:t>
            </w:r>
          </w:p>
        </w:tc>
      </w:tr>
      <w:tr>
        <w:trPr/>
        <w:tc>
          <w:tcPr>
            <w:tcW w:w="7865" w:type="dxa"/>
            <w:tcBorders/>
            <w:shd w:fill="CCEEFF" w:val="clear"/>
            <w:vAlign w:val="center"/>
          </w:tcPr>
          <w:p>
            <w:pPr>
              <w:pStyle w:val="TableContents"/>
              <w:bidi w:val="0"/>
              <w:spacing w:before="0" w:after="283"/>
              <w:jc w:val="left"/>
              <w:rPr/>
            </w:pPr>
            <w:r>
              <w:rPr/>
              <w:t>Ordinary shares (€0.01 par value, 500,000,000 shares authorized as of December 31, 2025 and December 31, 2024; 110,226,198 shares issued and outstanding as of December 31, 2025 and 47,500,000 issued and outstanding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551</w:t>
            </w:r>
          </w:p>
        </w:tc>
        <w:tc>
          <w:tcPr>
            <w:tcW w:w="515" w:type="dxa"/>
            <w:tcBorders/>
            <w:shd w:fill="CCEEFF" w:val="clear"/>
            <w:vAlign w:val="center"/>
          </w:tcPr>
          <w:p>
            <w:pPr>
              <w:pStyle w:val="TableContents"/>
              <w:bidi w:val="0"/>
              <w:spacing w:before="0" w:after="283"/>
              <w:ind w:left="0" w:right="0" w:hanging="180"/>
              <w:jc w:val="left"/>
              <w:rPr/>
            </w:pPr>
            <w:r>
              <w:rPr/>
              <w:t> </w:t>
            </w:r>
          </w:p>
        </w:tc>
      </w:tr>
      <w:tr>
        <w:trPr/>
        <w:tc>
          <w:tcPr>
            <w:tcW w:w="7865" w:type="dxa"/>
            <w:tcBorders/>
            <w:shd w:fill="FFFFFF" w:val="clear"/>
            <w:vAlign w:val="center"/>
          </w:tcPr>
          <w:p>
            <w:pPr>
              <w:pStyle w:val="TableContents"/>
              <w:bidi w:val="0"/>
              <w:spacing w:before="0" w:after="283"/>
              <w:jc w:val="left"/>
              <w:rPr/>
            </w:pPr>
            <w:r>
              <w:rPr/>
              <w:t>Convertible Preferred Shares (€100 par value, 8,040 shares authorized as of December 31, 2025 and no shares authorized at December 31, 2024; 20 shares issued and outstanding as of December 31, 2025 and no issued and outstanding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515" w:type="dxa"/>
            <w:tcBorders/>
            <w:shd w:fill="FFFFFF" w:val="clear"/>
            <w:vAlign w:val="center"/>
          </w:tcPr>
          <w:p>
            <w:pPr>
              <w:pStyle w:val="TableContents"/>
              <w:bidi w:val="0"/>
              <w:spacing w:before="0" w:after="283"/>
              <w:ind w:left="0" w:right="0" w:firstLine="440"/>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515" w:type="dxa"/>
            <w:tcBorders/>
            <w:shd w:fill="CCEEFF" w:val="clear"/>
            <w:vAlign w:val="center"/>
          </w:tcPr>
          <w:p>
            <w:pPr>
              <w:pStyle w:val="TableContents"/>
              <w:bidi w:val="0"/>
              <w:spacing w:before="0" w:after="283"/>
              <w:ind w:left="0" w:right="0" w:hanging="180"/>
              <w:jc w:val="left"/>
              <w:rPr/>
            </w:pPr>
            <w:r>
              <w:rPr/>
              <w:t> </w:t>
            </w:r>
          </w:p>
        </w:tc>
      </w:tr>
      <w:tr>
        <w:trPr/>
        <w:tc>
          <w:tcPr>
            <w:tcW w:w="786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519,422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(548</w:t>
            </w:r>
          </w:p>
        </w:tc>
        <w:tc>
          <w:tcPr>
            <w:tcW w:w="515" w:type="dxa"/>
            <w:tcBorders/>
            <w:shd w:fill="FFFFFF" w:val="clear"/>
            <w:vAlign w:val="center"/>
          </w:tcPr>
          <w:p>
            <w:pPr>
              <w:pStyle w:val="TableContents"/>
              <w:bidi w:val="0"/>
              <w:spacing w:before="0" w:after="283"/>
              <w:ind w:left="0" w:right="0" w:hanging="180"/>
              <w:jc w:val="left"/>
              <w:rPr/>
            </w:pPr>
            <w:r>
              <w:rPr/>
              <w:t>)</w:t>
            </w:r>
          </w:p>
        </w:tc>
      </w:tr>
      <w:tr>
        <w:trPr/>
        <w:tc>
          <w:tcPr>
            <w:tcW w:w="786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w:t>
            </w:r>
          </w:p>
        </w:tc>
        <w:tc>
          <w:tcPr>
            <w:tcW w:w="515" w:type="dxa"/>
            <w:tcBorders/>
            <w:shd w:fill="CCEEFF" w:val="clear"/>
            <w:vAlign w:val="center"/>
          </w:tcPr>
          <w:p>
            <w:pPr>
              <w:pStyle w:val="TableContents"/>
              <w:bidi w:val="0"/>
              <w:spacing w:before="0" w:after="283"/>
              <w:ind w:left="0" w:right="0" w:hanging="180"/>
              <w:jc w:val="left"/>
              <w:rPr/>
            </w:pPr>
            <w:r>
              <w:rPr/>
              <w:t>)</w:t>
            </w:r>
          </w:p>
        </w:tc>
      </w:tr>
      <w:tr>
        <w:trPr/>
        <w:tc>
          <w:tcPr>
            <w:tcW w:w="786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(10,103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51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(93,590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w:t>
            </w:r>
          </w:p>
        </w:tc>
        <w:tc>
          <w:tcPr>
            <w:tcW w:w="515" w:type="dxa"/>
            <w:tcBorders/>
            <w:shd w:fill="CCEEFF" w:val="clear"/>
            <w:vAlign w:val="center"/>
          </w:tcPr>
          <w:p>
            <w:pPr>
              <w:pStyle w:val="TableContents"/>
              <w:bidi w:val="0"/>
              <w:spacing w:before="0" w:after="283"/>
              <w:jc w:val="left"/>
              <w:rPr>
                <w:b/>
              </w:rPr>
            </w:pPr>
            <w:r>
              <w:rPr>
                <w:b/>
              </w:rPr>
              <w:t>)</w:t>
            </w:r>
          </w:p>
        </w:tc>
      </w:tr>
      <w:tr>
        <w:trPr/>
        <w:tc>
          <w:tcPr>
            <w:tcW w:w="7865" w:type="dxa"/>
            <w:tcBorders/>
            <w:shd w:fill="FFFFFF" w:val="clear"/>
            <w:vAlign w:val="center"/>
          </w:tcPr>
          <w:p>
            <w:pPr>
              <w:pStyle w:val="TableContents"/>
              <w:bidi w:val="0"/>
              <w:spacing w:before="0" w:after="283"/>
              <w:jc w:val="left"/>
              <w:rPr>
                <w:b/>
              </w:rPr>
            </w:pPr>
            <w:r>
              <w:rPr>
                <w:b/>
              </w:rPr>
              <w:t>Total 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134</w:t>
            </w:r>
          </w:p>
        </w:tc>
        <w:tc>
          <w:tcPr>
            <w:tcW w:w="51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fin_003"/>
      <w:bookmarkEnd w:id="31"/>
      <w:r>
        <w:rPr>
          <w:rFonts w:ascii="Times New Roman;Times;Serif" w:hAnsi="Times New Roman;Times;Serif"/>
          <w:b/>
          <w:i w:val="false"/>
          <w:caps w:val="false"/>
          <w:smallCaps w:val="false"/>
          <w:sz w:val="20"/>
        </w:rPr>
        <w:t>Terra Innovatum Global N.V.</w:t>
        <w:br/>
        <w:t>(formerly Terra Innovatum Global Srl.)</w:t>
        <w:br/>
        <w:t>Consolidated Statements of Operations and Comprehensive Income</w:t>
        <w:br/>
        <w:t>(all amounts in USD)(in thousands, except share and per share amounts)</w:t>
      </w:r>
    </w:p>
    <w:p>
      <w:pPr>
        <w:pStyle w:val="TextBody"/>
        <w:bidi w:val="0"/>
        <w:spacing w:before="0" w:after="0"/>
        <w:jc w:val="center"/>
        <w:rPr>
          <w:caps w:val="false"/>
          <w:smallCaps w:val="false"/>
        </w:rPr>
      </w:pPr>
      <w:r>
        <w:rPr>
          <w:caps w:val="false"/>
          <w:smallCaps w:val="false"/>
        </w:rPr>
        <w:t> </w:t>
      </w:r>
    </w:p>
    <w:tbl>
      <w:tblPr>
        <w:tblW w:w="8555" w:type="dxa"/>
        <w:jc w:val="left"/>
        <w:tblInd w:w="0" w:type="dxa"/>
        <w:tblLayout w:type="fixed"/>
        <w:tblCellMar>
          <w:top w:w="0" w:type="dxa"/>
          <w:left w:w="0" w:type="dxa"/>
          <w:bottom w:w="0" w:type="dxa"/>
          <w:right w:w="0" w:type="dxa"/>
        </w:tblCellMar>
      </w:tblPr>
      <w:tblGrid>
        <w:gridCol w:w="5750"/>
        <w:gridCol w:w="60"/>
        <w:gridCol w:w="140"/>
        <w:gridCol w:w="1100"/>
        <w:gridCol w:w="95"/>
        <w:gridCol w:w="60"/>
        <w:gridCol w:w="140"/>
        <w:gridCol w:w="1100"/>
        <w:gridCol w:w="110"/>
      </w:tblGrid>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78</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33,699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153</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(33,699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(153</w:t>
            </w:r>
          </w:p>
        </w:tc>
        <w:tc>
          <w:tcPr>
            <w:tcW w:w="110" w:type="dxa"/>
            <w:tcBorders/>
            <w:shd w:fill="FFFFFF" w:val="clear"/>
            <w:vAlign w:val="center"/>
          </w:tcPr>
          <w:p>
            <w:pPr>
              <w:pStyle w:val="TableContents"/>
              <w:bidi w:val="0"/>
              <w:spacing w:before="0" w:after="283"/>
              <w:jc w:val="left"/>
              <w:rPr>
                <w:b/>
              </w:rPr>
            </w:pPr>
            <w:r>
              <w:rPr>
                <w:b/>
              </w:rPr>
              <w:t>)</w:t>
            </w:r>
          </w:p>
        </w:tc>
      </w:tr>
      <w:tr>
        <w:trPr/>
        <w:tc>
          <w:tcPr>
            <w:tcW w:w="5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Other income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559,967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573,223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129</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b/>
              </w:rPr>
            </w:pPr>
            <w:r>
              <w:rPr>
                <w:b/>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539,524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(24</w:t>
            </w:r>
          </w:p>
        </w:tc>
        <w:tc>
          <w:tcPr>
            <w:tcW w:w="110" w:type="dxa"/>
            <w:tcBorders/>
            <w:shd w:fill="CCEEFF" w:val="clear"/>
            <w:vAlign w:val="center"/>
          </w:tcPr>
          <w:p>
            <w:pPr>
              <w:pStyle w:val="TableContents"/>
              <w:bidi w:val="0"/>
              <w:spacing w:before="0" w:after="283"/>
              <w:jc w:val="left"/>
              <w:rPr>
                <w:b/>
              </w:rPr>
            </w:pPr>
            <w:r>
              <w:rPr>
                <w:b/>
              </w:rPr>
              <w:t>)</w:t>
            </w:r>
          </w:p>
        </w:tc>
      </w:tr>
      <w:tr>
        <w:trPr/>
        <w:tc>
          <w:tcPr>
            <w:tcW w:w="5750"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w:t>
            </w:r>
          </w:p>
        </w:tc>
        <w:tc>
          <w:tcPr>
            <w:tcW w:w="110" w:type="dxa"/>
            <w:tcBorders/>
            <w:shd w:fill="CCEEFF" w:val="clear"/>
            <w:vAlign w:val="center"/>
          </w:tcPr>
          <w:p>
            <w:pPr>
              <w:pStyle w:val="TableContents"/>
              <w:bidi w:val="0"/>
              <w:spacing w:before="0" w:after="283"/>
              <w:jc w:val="left"/>
              <w:rPr>
                <w:b/>
              </w:rPr>
            </w:pPr>
            <w:r>
              <w:rPr>
                <w:b/>
              </w:rPr>
              <w:t>)</w:t>
            </w:r>
          </w:p>
        </w:tc>
      </w:tr>
      <w:tr>
        <w:trPr/>
        <w:tc>
          <w:tcPr>
            <w:tcW w:w="5750"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Change in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529,419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w:t>
            </w:r>
          </w:p>
        </w:tc>
        <w:tc>
          <w:tcPr>
            <w:tcW w:w="110" w:type="dxa"/>
            <w:tcBorders/>
            <w:shd w:fill="FFFFFF" w:val="clear"/>
            <w:vAlign w:val="center"/>
          </w:tcPr>
          <w:p>
            <w:pPr>
              <w:pStyle w:val="TableContents"/>
              <w:bidi w:val="0"/>
              <w:spacing w:before="0" w:after="283"/>
              <w:jc w:val="left"/>
              <w:rPr>
                <w:b/>
              </w:rPr>
            </w:pPr>
            <w:r>
              <w:rPr>
                <w:b/>
              </w:rPr>
              <w:t>)</w:t>
            </w:r>
          </w:p>
        </w:tc>
      </w:tr>
      <w:tr>
        <w:trPr/>
        <w:tc>
          <w:tcPr>
            <w:tcW w:w="5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Net income per share -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b/>
              </w:rPr>
            </w:pPr>
            <w:r>
              <w:rPr>
                <w:b/>
              </w:rPr>
              <w:t>Weighted-average ordinary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55,407,007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Net income per share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b/>
              </w:rPr>
            </w:pPr>
            <w:r>
              <w:rPr>
                <w:b/>
              </w:rPr>
              <w:t>Weighted-average ordinary shares outstanding - dilutive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55,420,642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fin_004"/>
      <w:bookmarkEnd w:id="32"/>
      <w:r>
        <w:rPr>
          <w:rFonts w:ascii="Times New Roman;Times;Serif" w:hAnsi="Times New Roman;Times;Serif"/>
          <w:b/>
          <w:i w:val="false"/>
          <w:caps w:val="false"/>
          <w:smallCaps w:val="false"/>
          <w:sz w:val="20"/>
        </w:rPr>
        <w:t>Terra Innovatum Global N.V.</w:t>
        <w:br/>
        <w:t>(Formerly Terra Innovatum Global Srl.)</w:t>
        <w:br/>
        <w:t>Consolidated Statements of Changes in Shareholders’ Deficit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amounts in USD)(in thousands)</w:t>
      </w:r>
    </w:p>
    <w:p>
      <w:pPr>
        <w:pStyle w:val="TextBody"/>
        <w:bidi w:val="0"/>
        <w:spacing w:before="0" w:after="0"/>
        <w:jc w:val="center"/>
        <w:rPr>
          <w:caps w:val="false"/>
          <w:smallCaps w:val="false"/>
        </w:rPr>
      </w:pPr>
      <w:r>
        <w:rPr>
          <w:caps w:val="false"/>
          <w:smallCaps w:val="false"/>
        </w:rPr>
        <w:t> </w:t>
      </w:r>
    </w:p>
    <w:tbl>
      <w:tblPr>
        <w:tblW w:w="13080" w:type="dxa"/>
        <w:jc w:val="left"/>
        <w:tblInd w:w="0" w:type="dxa"/>
        <w:tblLayout w:type="fixed"/>
        <w:tblCellMar>
          <w:top w:w="0" w:type="dxa"/>
          <w:left w:w="0" w:type="dxa"/>
          <w:bottom w:w="0" w:type="dxa"/>
          <w:right w:w="0" w:type="dxa"/>
        </w:tblCellMar>
      </w:tblPr>
      <w:tblGrid>
        <w:gridCol w:w="1520"/>
        <w:gridCol w:w="60"/>
        <w:gridCol w:w="185"/>
        <w:gridCol w:w="900"/>
        <w:gridCol w:w="95"/>
        <w:gridCol w:w="60"/>
        <w:gridCol w:w="107"/>
        <w:gridCol w:w="603"/>
        <w:gridCol w:w="95"/>
        <w:gridCol w:w="60"/>
        <w:gridCol w:w="155"/>
        <w:gridCol w:w="705"/>
        <w:gridCol w:w="95"/>
        <w:gridCol w:w="60"/>
        <w:gridCol w:w="60"/>
        <w:gridCol w:w="1220"/>
        <w:gridCol w:w="60"/>
        <w:gridCol w:w="60"/>
        <w:gridCol w:w="172"/>
        <w:gridCol w:w="688"/>
        <w:gridCol w:w="60"/>
        <w:gridCol w:w="60"/>
        <w:gridCol w:w="140"/>
        <w:gridCol w:w="1055"/>
        <w:gridCol w:w="95"/>
        <w:gridCol w:w="60"/>
        <w:gridCol w:w="160"/>
        <w:gridCol w:w="1210"/>
        <w:gridCol w:w="95"/>
        <w:gridCol w:w="60"/>
        <w:gridCol w:w="239"/>
        <w:gridCol w:w="1296"/>
        <w:gridCol w:w="95"/>
        <w:gridCol w:w="60"/>
        <w:gridCol w:w="155"/>
        <w:gridCol w:w="1170"/>
        <w:gridCol w:w="110"/>
      </w:tblGrid>
      <w:tr>
        <w:trPr/>
        <w:tc>
          <w:tcPr>
            <w:tcW w:w="15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Corporate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shareholders’</w:t>
            </w:r>
          </w:p>
        </w:tc>
        <w:tc>
          <w:tcPr>
            <w:tcW w:w="110" w:type="dxa"/>
            <w:tcBorders/>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January 1, 2024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shd w:fill="CCEEFF" w:val="clear"/>
            <w:vAlign w:val="center"/>
          </w:tcPr>
          <w:p>
            <w:pPr>
              <w:pStyle w:val="TableContents"/>
              <w:bidi w:val="0"/>
              <w:spacing w:before="0" w:after="283"/>
              <w:jc w:val="right"/>
              <w:rPr/>
            </w:pPr>
            <w:r>
              <w:rPr/>
              <w:t>         </w:t>
            </w:r>
            <w:r>
              <w:rPr>
                <w:rFonts w:ascii="Times New Roman;Times;Serif" w:hAnsi="Times New Roman;Times;Serif"/>
                <w:b/>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Retrospective application of the Business Combination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balances at beginning of period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0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539,524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Preferred Shares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share-settled contingent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(1,250,223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(1,250,223</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 net of redemptions and transaction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17,716,465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74,271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 and warrants in connection with PIPE Financing</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15,403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Advisor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14,036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excess of fair value of share-settled contingent liability over additional paid-in capital to accumulated deficit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(1,146,763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Bridge Loan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share settled contingent liability into ordinary shares upon milestone event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Shares into ordinary shares upon milestone event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Contingently vested Sponsor ordinary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(10,105</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519,422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(607,276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(10,103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(93,590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fin_005"/>
      <w:bookmarkEnd w:id="33"/>
      <w:r>
        <w:rPr>
          <w:rFonts w:ascii="Times New Roman;Times;Serif" w:hAnsi="Times New Roman;Times;Serif"/>
          <w:b/>
          <w:i w:val="false"/>
          <w:caps w:val="false"/>
          <w:smallCaps w:val="false"/>
          <w:sz w:val="20"/>
        </w:rPr>
        <w:t>Terra Innovatum Global N.V.</w:t>
        <w:br/>
        <w:t>(formerly Terra Innovatum Global Srl.)</w:t>
        <w:br/>
        <w:t>Consolidated Statements of Cash Flows</w:t>
        <w:br/>
      </w:r>
      <w:r>
        <w:rPr>
          <w:rFonts w:ascii="Times New Roman;Times;Serif" w:hAnsi="Times New Roman;Times;Serif"/>
          <w:b/>
          <w:i/>
          <w:caps w:val="false"/>
          <w:smallCaps w:val="false"/>
          <w:sz w:val="20"/>
        </w:rPr>
        <w:t>(all amounts in USD)(in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3"/>
        <w:gridCol w:w="60"/>
        <w:gridCol w:w="164"/>
        <w:gridCol w:w="1153"/>
        <w:gridCol w:w="111"/>
        <w:gridCol w:w="70"/>
        <w:gridCol w:w="164"/>
        <w:gridCol w:w="447"/>
        <w:gridCol w:w="113"/>
      </w:tblGrid>
      <w:tr>
        <w:trPr/>
        <w:tc>
          <w:tcPr>
            <w:tcW w:w="79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13" w:type="dxa"/>
            <w:tcBorders/>
            <w:vAlign w:val="center"/>
          </w:tcPr>
          <w:p>
            <w:pPr>
              <w:pStyle w:val="TableContents"/>
              <w:bidi w:val="0"/>
              <w:spacing w:before="0" w:after="283"/>
              <w:jc w:val="left"/>
              <w:rPr/>
            </w:pPr>
            <w:r>
              <w:rPr/>
              <w:t> </w:t>
            </w:r>
          </w:p>
        </w:tc>
      </w:tr>
      <w:tr>
        <w:trPr/>
        <w:tc>
          <w:tcPr>
            <w:tcW w:w="79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923"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11"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539,524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447" w:type="dxa"/>
            <w:tcBorders/>
            <w:shd w:fill="CCEEFF" w:val="clear"/>
            <w:vAlign w:val="center"/>
          </w:tcPr>
          <w:p>
            <w:pPr>
              <w:pStyle w:val="TableContents"/>
              <w:bidi w:val="0"/>
              <w:spacing w:before="0" w:after="283"/>
              <w:jc w:val="right"/>
              <w:rPr/>
            </w:pPr>
            <w:r>
              <w:rPr/>
              <w:t>(34</w:t>
            </w:r>
          </w:p>
        </w:tc>
        <w:tc>
          <w:tcPr>
            <w:tcW w:w="113" w:type="dxa"/>
            <w:tcBorders/>
            <w:shd w:fill="CCEEFF" w:val="clear"/>
            <w:vAlign w:val="center"/>
          </w:tcPr>
          <w:p>
            <w:pPr>
              <w:pStyle w:val="TableContents"/>
              <w:bidi w:val="0"/>
              <w:spacing w:before="0" w:after="283"/>
              <w:jc w:val="left"/>
              <w:rPr/>
            </w:pPr>
            <w:r>
              <w:rPr/>
              <w:t>)</w:t>
            </w:r>
          </w:p>
        </w:tc>
      </w:tr>
      <w:tr>
        <w:trPr/>
        <w:tc>
          <w:tcPr>
            <w:tcW w:w="7923" w:type="dxa"/>
            <w:tcBorders/>
            <w:shd w:fill="FFFF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Unrealized foreign exchange gain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54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Loss on issuance of bridge loan and warrant liability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1,363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(16,588</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Change in fair value of share-settled contingent liability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(559,967</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19,725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Remeasurement of bridge loan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(16</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Interest expense - non-cash</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1,414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Issuance costs allocated to liability classified warrants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Due from related parties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9</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(2,674</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(67</w:t>
            </w:r>
          </w:p>
        </w:tc>
        <w:tc>
          <w:tcPr>
            <w:tcW w:w="113" w:type="dxa"/>
            <w:tcBorders/>
            <w:shd w:fill="FFFFFF" w:val="clear"/>
            <w:vAlign w:val="center"/>
          </w:tcPr>
          <w:p>
            <w:pPr>
              <w:pStyle w:val="TableContents"/>
              <w:bidi w:val="0"/>
              <w:spacing w:before="0" w:after="283"/>
              <w:jc w:val="left"/>
              <w:rPr/>
            </w:pPr>
            <w:r>
              <w:rPr/>
              <w:t>)</w:t>
            </w:r>
          </w:p>
        </w:tc>
      </w:tr>
      <w:tr>
        <w:trPr/>
        <w:tc>
          <w:tcPr>
            <w:tcW w:w="7923"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(5</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4,940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33</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1,912</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13</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(10,297</w:t>
            </w:r>
          </w:p>
        </w:tc>
        <w:tc>
          <w:tcPr>
            <w:tcW w:w="111" w:type="dxa"/>
            <w:tcBorders/>
            <w:shd w:fill="CCEEFF" w:val="clear"/>
            <w:vAlign w:val="center"/>
          </w:tcPr>
          <w:p>
            <w:pPr>
              <w:pStyle w:val="TableContents"/>
              <w:bidi w:val="0"/>
              <w:spacing w:before="0" w:after="283"/>
              <w:jc w:val="lef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w:t>
            </w:r>
          </w:p>
        </w:tc>
        <w:tc>
          <w:tcPr>
            <w:tcW w:w="113" w:type="dxa"/>
            <w:tcBorders/>
            <w:shd w:fill="CCEEFF" w:val="clear"/>
            <w:vAlign w:val="center"/>
          </w:tcPr>
          <w:p>
            <w:pPr>
              <w:pStyle w:val="TableContents"/>
              <w:bidi w:val="0"/>
              <w:spacing w:before="0" w:after="283"/>
              <w:jc w:val="left"/>
              <w:rPr>
                <w:b/>
              </w:rPr>
            </w:pPr>
            <w:r>
              <w:rPr>
                <w:b/>
              </w:rPr>
              <w:t>)</w:t>
            </w:r>
          </w:p>
        </w:tc>
      </w:tr>
      <w:tr>
        <w:trPr/>
        <w:tc>
          <w:tcPr>
            <w:tcW w:w="792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Purchases of equipment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w:t>
            </w:r>
          </w:p>
        </w:tc>
        <w:tc>
          <w:tcPr>
            <w:tcW w:w="111"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Proceeds from Bridge Loans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5,690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Payment of debt issuance costs for Bridge Loans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(24</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Proceeds from Business Combination, net of transaction costs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69,878</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Proceeds from PIPE financing</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36,835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Payments to related party loans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(116</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right"/>
              <w:rPr/>
            </w:pPr>
            <w:r>
              <w:rPr/>
              <w:t>112</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112,263</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955</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w:t>
            </w:r>
          </w:p>
        </w:tc>
      </w:tr>
      <w:tr>
        <w:trPr/>
        <w:tc>
          <w:tcPr>
            <w:tcW w:w="7923"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101,858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70</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b/>
              </w:rPr>
            </w:pPr>
            <w:r>
              <w:rPr>
                <w:b/>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102,882</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left"/>
              <w:rPr/>
            </w:pPr>
            <w:r>
              <w:rPr/>
              <w:t>Initial value of warrant liabilities issued in connection with Bridge Loans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5,703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Conversion of Bridge Loans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2,747</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923" w:type="dxa"/>
            <w:tcBorders/>
            <w:shd w:fill="FFFFFF" w:val="clear"/>
            <w:vAlign w:val="center"/>
          </w:tcPr>
          <w:p>
            <w:pPr>
              <w:pStyle w:val="TableContents"/>
              <w:bidi w:val="0"/>
              <w:spacing w:before="0" w:after="283"/>
              <w:jc w:val="left"/>
              <w:rPr/>
            </w:pPr>
            <w:r>
              <w:rPr/>
              <w:t>Reclassification of excess of fair value of share-settled contingent liability over additional paid-in capital to accumulated deficit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1,146,762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Issuance of Share-settled Contingent Liability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1,250,223</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923" w:type="dxa"/>
            <w:tcBorders/>
            <w:shd w:fill="FFFFFF" w:val="clear"/>
            <w:vAlign w:val="center"/>
          </w:tcPr>
          <w:p>
            <w:pPr>
              <w:pStyle w:val="TableContents"/>
              <w:bidi w:val="0"/>
              <w:spacing w:before="0" w:after="283"/>
              <w:jc w:val="left"/>
              <w:rPr/>
            </w:pPr>
            <w:r>
              <w:rPr/>
              <w:t>Conversion of share-settled Contingent Liability into ordinary shares upon milestone achievement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514,510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44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left"/>
              <w:rPr/>
            </w:pPr>
            <w:r>
              <w:rPr/>
              <w:t>Issuance of ordinary shares and Advisor Warrant in exchange for services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14,039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44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fin_006"/>
      <w:bookmarkEnd w:id="34"/>
      <w:r>
        <w:rPr>
          <w:rFonts w:ascii="Times New Roman;Times;Serif" w:hAnsi="Times New Roman;Times;Serif"/>
          <w:b/>
          <w:i w:val="false"/>
          <w:caps w:val="false"/>
          <w:smallCaps w:val="false"/>
          <w:sz w:val="20"/>
        </w:rPr>
        <w:t>Terra Innovatum Global N.V.</w:t>
        <w:br/>
        <w:t>(formerly Terra Innovatum Global Srl.)</w:t>
        <w:br/>
        <w:t>Notes to the Consolidated Financial Statements</w:t>
        <w:br/>
        <w:t>(in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Terra”</w:t>
      </w:r>
      <w:r>
        <w:rPr>
          <w:rFonts w:ascii="Times New Roman;Times;Serif" w:hAnsi="Times New Roman;Times;Serif"/>
          <w:b w:val="false"/>
          <w:i w:val="false"/>
          <w:caps w:val="false"/>
          <w:smallCaps w:val="false"/>
          <w:sz w:val="20"/>
        </w:rPr>
        <w:t>) is a Dutch public limited liability company (naamloze vennootschap) organized under the laws of the Netherlands. The Company is registered in the Netherlands, and its legal headquarters is in Lucca Italy, San Marco district at Via Matteo Trenta No. 117.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consummated a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pursuant to a Business Combination Agreement dated April 21, 2025, as amended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(see Note 2 – Business Combination). As a result of the Business Combination, the Company became a publicly traded parent company of the combined organization. The Company’s ordinary shares commenced trading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“NKLR” on October 10,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Terra Innovatum Srl. (“</w:t>
      </w:r>
      <w:r>
        <w:rPr>
          <w:rFonts w:ascii="Times New Roman;Times;Serif" w:hAnsi="Times New Roman;Times;Serif"/>
          <w:b/>
          <w:i w:val="false"/>
          <w:caps w:val="false"/>
          <w:smallCaps w:val="false"/>
          <w:sz w:val="20"/>
        </w:rPr>
        <w:t>Legacy Terra”</w:t>
      </w:r>
      <w:r>
        <w:rPr>
          <w:rFonts w:ascii="Times New Roman;Times;Serif" w:hAnsi="Times New Roman;Times;Serif"/>
          <w:b w:val="false"/>
          <w:i w:val="false"/>
          <w:caps w:val="false"/>
          <w:smallCaps w:val="false"/>
          <w:sz w:val="20"/>
        </w:rPr>
        <w:t>), the private operating company prior to the Business Combination, continues to operate as a wholly owned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in the development of nuclear energy technology focused on the design of a micro-modular nuclear reactor known as the SOLO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Times;Serif" w:hAnsi="Times New Roman;Times;Serif"/>
          <w:b/>
          <w:i w:val="false"/>
          <w:caps w:val="false"/>
          <w:smallCaps w:val="false"/>
          <w:sz w:val="20"/>
        </w:rPr>
        <w:t>MWe”</w:t>
      </w:r>
      <w:r>
        <w:rPr>
          <w:rFonts w:ascii="Times New Roman;Times;Serif" w:hAnsi="Times New Roman;Times;Serif"/>
          <w:b w:val="false"/>
          <w:i w:val="false"/>
          <w:caps w:val="false"/>
          <w:smallCaps w:val="false"/>
          <w:sz w:val="20"/>
        </w:rPr>
        <w:t>) of baseload power through a gas-cooled system utilizing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The reactor design contemplates extended operating cycles, including refueling capabilities, subject to regulatory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completed the conceptual and detailed design phases of the reactor and has validated certain key technological components. The Company has initiated pre-application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is progressing through regulatory and licensing activities required for future construction and operation. The Company has not yet constructed a commercial reactor and has not generated revenues from operations. All activities to date relate to research and development and preparation for potential future commercialization.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nuclear energy technology company and has not generated revenue from its principal activities. The Company’s current activities involve significant risks and uncertainties, including, but not limited to, its ability to obtain required regulatory approvals for its reactor technology and its ability to secure additional financing to fund operations through commercialization. The regulatory approval process for nuclear technologies is complex, time-consuming, and subject to factors beyond the Company’s control. In addition, the Company will require substantial additional capital to complete development and achieve commercialization, and there can be no assurance that such financing will be available on acceptable terms, or at all. These factors raise significant risks and uncertainties that could materially impact the Company’s future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GSR III, Legacy Terra, Terra Innovatum Global Srl., Terra MergerCo, and certain other parties entered into a business combination agreement,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GSR III held an extraordinary general meeting of shareholders on October 7, 2025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at which GSR III shareholders approved the transactions contemplated by the Business Combination Agreement. Pursuant to the terms and subject to the conditions set forth in the Business Combination Agreement, the business combination was consummated on October 9, 2025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and such consummation,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Terra Pre-Closing Restructuring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Legacy Terra completed a series of restructuring transactions (the “</w:t>
      </w:r>
      <w:r>
        <w:rPr>
          <w:rFonts w:ascii="Times New Roman;Times;Serif" w:hAnsi="Times New Roman;Times;Serif"/>
          <w:b/>
          <w:i w:val="false"/>
          <w:caps w:val="false"/>
          <w:smallCaps w:val="false"/>
          <w:sz w:val="20"/>
        </w:rPr>
        <w:t>Terra Pre-Closing Restructuring”</w:t>
      </w:r>
      <w:r>
        <w:rPr>
          <w:rFonts w:ascii="Times New Roman;Times;Serif" w:hAnsi="Times New Roman;Times;Serif"/>
          <w:b w:val="false"/>
          <w:i w:val="false"/>
          <w:caps w:val="false"/>
          <w:smallCaps w:val="false"/>
          <w:sz w:val="20"/>
        </w:rPr>
        <w:t>) to establish a holding company 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Legacy Terra formed Terra Innovatum Global Srl. with the same quotaholders in the same ownership percentages as Legacy Terra. On June 23, 2025, the quotaholders contributed 100% of their respective quotas in Legacy Terra to Terra Innovatum Global Srl (the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resulting in Legacy Terra becoming a wholly owned subsidiary of Terra Innovatum Global Srl. Subsequently, Terra Innovatum Global Srl. formed Terra MergerCo (“</w:t>
      </w:r>
      <w:r>
        <w:rPr>
          <w:rFonts w:ascii="Times New Roman;Times;Serif" w:hAnsi="Times New Roman;Times;Serif"/>
          <w:b/>
          <w:i w:val="false"/>
          <w:caps w:val="false"/>
          <w:smallCaps w:val="false"/>
          <w:sz w:val="20"/>
        </w:rPr>
        <w:t>MergerCo”</w:t>
      </w:r>
      <w:r>
        <w:rPr>
          <w:rFonts w:ascii="Times New Roman;Times;Serif" w:hAnsi="Times New Roman;Times;Serif"/>
          <w:b w:val="false"/>
          <w:i w:val="false"/>
          <w:caps w:val="false"/>
          <w:smallCaps w:val="false"/>
          <w:sz w:val="20"/>
        </w:rPr>
        <w:t>) as a wholly owned subsidiary for the sole purpose of effecting the business combination. On October 7, 2025, Terra Innovatum Global Srl. completed a cross-border conversion into Terra Innovatum Global N.V.,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cross-border conversion, each issued and outstanding quota of Terra Innovatum Global Srl was converted into:</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475,000 Terra ordinary shares per quota (the “</w:t>
            </w:r>
            <w:r>
              <w:rPr>
                <w:rFonts w:ascii="Times New Roman;Times;Serif" w:hAnsi="Times New Roman;Times;Serif"/>
                <w:b/>
              </w:rPr>
              <w:t>Common Conversion Ratio”</w:t>
            </w:r>
            <w:r>
              <w:rPr>
                <w:rFonts w:ascii="Times New Roman;Times;Serif" w:hAnsi="Times New Roman;Times;Serif"/>
              </w:rPr>
              <w:t>),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 Convertible Preferred Shares (the “</w:t>
            </w:r>
            <w:r>
              <w:rPr>
                <w:rFonts w:ascii="Times New Roman;Times;Serif" w:hAnsi="Times New Roman;Times;Serif"/>
                <w:b/>
              </w:rPr>
              <w:t>Convertible Preferred Shares”</w:t>
            </w:r>
            <w:r>
              <w:rPr>
                <w:rFonts w:ascii="Times New Roman;Times;Serif" w:hAnsi="Times New Roman;Times;Serif"/>
              </w:rPr>
              <w:t>) per quota (the “</w:t>
            </w:r>
            <w:r>
              <w:rPr>
                <w:rFonts w:ascii="Times New Roman;Times;Serif" w:hAnsi="Times New Roman;Times;Serif"/>
                <w:b/>
              </w:rPr>
              <w:t>Preferred Conversion Ratio”</w:t>
            </w:r>
            <w:r>
              <w:rPr>
                <w:rFonts w:ascii="Times New Roman;Times;Serif" w:hAnsi="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conversion of 100 quotas at the Common Conversion Ratio, 47,500,000 Terra ordinary shares were issued to former Terra Innovatum Global Srl. quotaholders.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Terra Pre-Closing Reorganization was accounted for as a transaction between entities under common control in accordance with Accounting Standards Codification (“</w:t>
      </w:r>
      <w:r>
        <w:rPr>
          <w:rFonts w:ascii="Times New Roman;Times;Serif" w:hAnsi="Times New Roman;Times;Serif"/>
          <w:b/>
          <w:i w:val="false"/>
          <w:caps w:val="false"/>
          <w:smallCaps w:val="false"/>
          <w:sz w:val="20"/>
        </w:rPr>
        <w:t>ASC”</w:t>
      </w:r>
      <w:r>
        <w:rPr>
          <w:rFonts w:ascii="Times New Roman;Times;Serif" w:hAnsi="Times New Roman;Times;Serif"/>
          <w:b w:val="false"/>
          <w:i w:val="false"/>
          <w:caps w:val="false"/>
          <w:smallCaps w:val="false"/>
          <w:sz w:val="20"/>
        </w:rPr>
        <w:t>) 805-50. Accordingly, assets and liabilities were recorded at historical carrying amounts, no goodwill or gain or loss was recognized. As the reorganization resulted in a change in the reporting entity, the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in September 2025 and October 2025, GSR III entered into subscription agreements (the “</w:t>
      </w:r>
      <w:r>
        <w:rPr>
          <w:rFonts w:ascii="Times New Roman;Times;Serif" w:hAnsi="Times New Roman;Times;Serif"/>
          <w:b/>
          <w:i w:val="false"/>
          <w:caps w:val="false"/>
          <w:smallCaps w:val="false"/>
          <w:sz w:val="20"/>
        </w:rPr>
        <w:t>PIPE Subscription Agreements”</w:t>
      </w:r>
      <w:r>
        <w:rPr>
          <w:rFonts w:ascii="Times New Roman;Times;Serif" w:hAnsi="Times New Roman;Times;Serif"/>
          <w:b w:val="false"/>
          <w:i w:val="false"/>
          <w:caps w:val="false"/>
          <w:smallCaps w:val="false"/>
          <w:sz w:val="20"/>
        </w:rPr>
        <w:t>) with certain accredited investors (the “</w:t>
      </w:r>
      <w:r>
        <w:rPr>
          <w:rFonts w:ascii="Times New Roman;Times;Serif" w:hAnsi="Times New Roman;Times;Serif"/>
          <w:b/>
          <w:i w:val="false"/>
          <w:caps w:val="false"/>
          <w:smallCaps w:val="false"/>
          <w:sz w:val="20"/>
        </w:rPr>
        <w:t>Subscribers”</w:t>
      </w:r>
      <w:r>
        <w:rPr>
          <w:rFonts w:ascii="Times New Roman;Times;Serif" w:hAnsi="Times New Roman;Times;Serif"/>
          <w:b w:val="false"/>
          <w:i w:val="false"/>
          <w:caps w:val="false"/>
          <w:smallCaps w:val="false"/>
          <w:sz w:val="20"/>
        </w:rPr>
        <w:t>), pursuant to which GSR III agreed to issue and sell, in a private placement (the “</w:t>
      </w:r>
      <w:r>
        <w:rPr>
          <w:rFonts w:ascii="Times New Roman;Times;Serif" w:hAnsi="Times New Roman;Times;Serif"/>
          <w:b/>
          <w:i w:val="false"/>
          <w:caps w:val="false"/>
          <w:smallCaps w:val="false"/>
          <w:sz w:val="20"/>
        </w:rPr>
        <w:t>PIPE Financing”</w:t>
      </w:r>
      <w:r>
        <w:rPr>
          <w:rFonts w:ascii="Times New Roman;Times;Serif" w:hAnsi="Times New Roman;Times;Serif"/>
          <w:b w:val="false"/>
          <w:i w:val="false"/>
          <w:caps w:val="false"/>
          <w:smallCaps w:val="false"/>
          <w:sz w:val="20"/>
        </w:rPr>
        <w:t>), Terra ordinary shares (the “</w:t>
      </w:r>
      <w:r>
        <w:rPr>
          <w:rFonts w:ascii="Times New Roman;Times;Serif" w:hAnsi="Times New Roman;Times;Serif"/>
          <w:b/>
          <w:i w:val="false"/>
          <w:caps w:val="false"/>
          <w:smallCaps w:val="false"/>
          <w:sz w:val="20"/>
        </w:rPr>
        <w:t>PIPE Shares”</w:t>
      </w:r>
      <w:r>
        <w:rPr>
          <w:rFonts w:ascii="Times New Roman;Times;Serif" w:hAnsi="Times New Roman;Times;Serif"/>
          <w:b w:val="false"/>
          <w:i w:val="false"/>
          <w:caps w:val="false"/>
          <w:smallCaps w:val="false"/>
          <w:sz w:val="20"/>
        </w:rPr>
        <w:t>) at a purchase price of $10.00 per share. In connection with the PIPE Financing, GSR III also agreed to issue warrants to purchase Terra ordinary shares, consisting of (i) warrants exercisable at $12.00 per share (the “</w:t>
      </w:r>
      <w:r>
        <w:rPr>
          <w:rFonts w:ascii="Times New Roman;Times;Serif" w:hAnsi="Times New Roman;Times;Serif"/>
          <w:b/>
          <w:i w:val="false"/>
          <w:caps w:val="false"/>
          <w:smallCaps w:val="false"/>
          <w:sz w:val="20"/>
        </w:rPr>
        <w:t>Half Warrants”</w:t>
      </w:r>
      <w:r>
        <w:rPr>
          <w:rFonts w:ascii="Times New Roman;Times;Serif" w:hAnsi="Times New Roman;Times;Serif"/>
          <w:b w:val="false"/>
          <w:i w:val="false"/>
          <w:caps w:val="false"/>
          <w:smallCaps w:val="false"/>
          <w:sz w:val="20"/>
        </w:rPr>
        <w:t>), issued at a ratio of one Half Warrant for every two PIPE Shares, and (ii) warrants exercisable at $16.00 per share (the “</w:t>
      </w:r>
      <w:r>
        <w:rPr>
          <w:rFonts w:ascii="Times New Roman;Times;Serif" w:hAnsi="Times New Roman;Times;Serif"/>
          <w:b/>
          <w:i w:val="false"/>
          <w:caps w:val="false"/>
          <w:smallCaps w:val="false"/>
          <w:sz w:val="20"/>
        </w:rPr>
        <w:t>Quarter Warrants”</w:t>
      </w:r>
      <w:r>
        <w:rPr>
          <w:rFonts w:ascii="Times New Roman;Times;Serif" w:hAnsi="Times New Roman;Times;Serif"/>
          <w:b w:val="false"/>
          <w:i w:val="false"/>
          <w:caps w:val="false"/>
          <w:smallCaps w:val="false"/>
          <w:sz w:val="20"/>
        </w:rPr>
        <w:t>), issued at a ratio of one Quarter Warrant for every four PIPE Shares (together with the Half Warrants, the “</w:t>
      </w:r>
      <w:r>
        <w:rPr>
          <w:rFonts w:ascii="Times New Roman;Times;Serif" w:hAnsi="Times New Roman;Times;Serif"/>
          <w:b/>
          <w:i w:val="false"/>
          <w:caps w:val="false"/>
          <w:smallCaps w:val="false"/>
          <w:sz w:val="20"/>
        </w:rPr>
        <w:t>PIPE Warrants”</w:t>
      </w:r>
      <w:r>
        <w:rPr>
          <w:rFonts w:ascii="Times New Roman;Times;Serif" w:hAnsi="Times New Roman;Times;Serif"/>
          <w:b w:val="false"/>
          <w:i w:val="false"/>
          <w:caps w:val="false"/>
          <w:smallCaps w:val="false"/>
          <w:sz w:val="20"/>
        </w:rPr>
        <w:t>). The PIPE Warrants are exercisable immediately upon issuance and have a term of five years from the date of issuance. Upon the Closing, the Company assumed GSR III’s rights and obligations under the PIPE Subscription Agreements and PIPE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Closing, MergerCo merged with and into GSR III, the separate corporate existence of MergerCo ceased, and GSR III survived the Business Combination as a wholly owned subsidiary of the Company. Each issued and outstanding GSR III Class A and Class B ordinary share outstanding immediately prior to the Closing was converted into one Terra ordinary share on a one-for-one basis. In addition, each whole GSR III right outstanding immediately prior to the Closing automatically converted into one GSR III Class A ordinary share immediately prior to the Closing, which then converted into one Terra ordinary share at Closing. Certain GSR III public shareholders elected to redeem their shares for cash in accordance with GSR III’s governing documents.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related arrangements, the following equity instruments were issued or became issuable: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left"/>
              <w:rPr/>
            </w:pPr>
            <w:r>
              <w:rPr>
                <w:b w:val="false"/>
              </w:rPr>
              <w:t>47,500,000 Terra ordinary shares</w:t>
            </w:r>
            <w:r>
              <w:rPr/>
              <w:t xml:space="preserve"> </w:t>
            </w:r>
            <w:r>
              <w:rPr>
                <w:rFonts w:ascii="Times New Roman;Times;Serif" w:hAnsi="Times New Roman;Times;Serif"/>
              </w:rPr>
              <w:t>were issued to former Terra Innovatum Global Srl. quotaholders;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21,176,965 Terra ordinary shares were issued to GSR III public shareholders, the sponsor and related parties, and other investors on a one-for-one basis for GSR III Class A and Class B ordinary shares and exercised rights, net of redemptions;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549,500 Terra ordinary shares held by the Sponsor (converted from GSR III Class B ordinary shares) became subject to vesting and forfeiture conditions tied to post-Closing milestones.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val="false"/>
              </w:rPr>
              <w:t>8,000 Convertible Preferred Shares</w:t>
            </w:r>
            <w:r>
              <w:rPr/>
              <w:t xml:space="preserve"> were issued to former Terra Innovatum Global Srl. quotaholders, contingently convertible into up to </w:t>
            </w:r>
            <w:r>
              <w:rPr>
                <w:b w:val="false"/>
              </w:rPr>
              <w:t>80,000,000 Terra ordinary shares</w:t>
            </w:r>
            <w:r>
              <w:rPr/>
              <w:t xml:space="preserve"> subject to market-based, regulatory, and performance-based milestones;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Pursuant to a financial advisory arrangement, the Company paid Park Avenue Capital Group Corp. (“</w:t>
            </w:r>
            <w:r>
              <w:rPr>
                <w:b/>
              </w:rPr>
              <w:t>PAC”</w:t>
            </w:r>
            <w:r>
              <w:rPr/>
              <w:t>) a $2,500 cash success fee at Closing and issued to PAC (i) 223,000 Terra ordinary shares as a success-based fee, (ii) a warrant exercisable for up to 1,000,000 Terra ordinary shares at an exercise price of $7.00 per share, and (iii) 40 Terra Convertible Preferred Shares that are contingently convertible into 400,000 Terra ordinary shares under milestone-based conditions generally consistent with those applicable to the Convertible Preferred Shares issued to former Terra Innovatum Global Srl. quotaholders.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Convertible bridge loans (including principal and accrued interest) outstanding at Closing converted into </w:t>
            </w:r>
            <w:r>
              <w:rPr>
                <w:b w:val="false"/>
              </w:rPr>
              <w:t xml:space="preserve">851,483 </w:t>
            </w:r>
            <w:r>
              <w:rPr/>
              <w:t>Terra ordinary shares at a conversion price of $7.00 per share, and the Company issued warrants to bridge lenders exercisable at $11.50 and $15.00 per share with a term of 36 months from the Closing.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Closing, the Company entered into a registration rights agreement granting certain holders registration rights with respect to their shares and other equity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proceeds received from the Business Combination and PIPE Financing, net of redemptions and transaction costs, totaled approximately $106,713. Proceeds from the business combination include cash acquired from GSR III upon the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Treatment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recapitalization by way of an asset acquisition in accordance with U.S. GAAP, as management determined that GSR III did not meet the definition of a business under ASC 805 because its assets consisted primarily of cash and investments held in trust and it did not have substantive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which is controlled by legacy Terra Innovatum Global Srl. quotaholders, has been determined to be the accounting acquirer based on the following: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Legacy Terra Innovatum Global Quotaholders held a majority of the voting interest in the Company, with 67.6% of the voting power held by legacy Terra Innovatum Global Quotaholders at Closing.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All of the senior management of the Company will come from the senior management of Terra Innovatum.</w:t>
            </w:r>
          </w:p>
        </w:tc>
      </w:tr>
    </w:tbl>
    <w:p>
      <w:pPr>
        <w:pStyle w:val="TextBody"/>
        <w:bidi w:val="0"/>
        <w:spacing w:before="0" w:after="0"/>
        <w:ind w:left="720" w:right="0" w:hanging="36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Terra Innovatum will appoint a majority of the directors to the Board of Directors.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intended strategy of the Company will be to continue to focus on Terra Innovatum’s core service offerings.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transaction was treated as the equivalent of Terra issuing equity interests in exchange for the net monetary assets of GSR III, with the net assets of GSR III recorded at their historical carrying values, which approximate fair value, and no goodwill or other intangible assets recognized.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presented are those of the Company, and the shares and corresponding per-share amounts (including loss per share) for all prior periods have been retroactively restated to reflect the share exchanges and recapitalization described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total the Company’s ordinary shares outstanding immediately after the Closing:</w:t>
      </w:r>
    </w:p>
    <w:p>
      <w:pPr>
        <w:pStyle w:val="TextBody"/>
        <w:bidi w:val="0"/>
        <w:spacing w:before="0" w:after="0"/>
        <w:ind w:left="0" w:right="0" w:firstLine="36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50"/>
        <w:gridCol w:w="60"/>
        <w:gridCol w:w="60"/>
        <w:gridCol w:w="1100"/>
        <w:gridCol w:w="75"/>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Ordinary Shares held by Terra Innovatum Global Quotaholders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47,500,000</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Ordinary Shares held by GSR III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11,810,108</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Ordinary Shares held by Sponsor and related parties of Sponsor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6,232,857</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Ordinary Shares held by unrelated third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1,074,483</w:t>
            </w:r>
          </w:p>
        </w:tc>
        <w:tc>
          <w:tcPr>
            <w:tcW w:w="75"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Ordinary Shares underlying the PIPE Financing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3,683,500</w:t>
            </w:r>
          </w:p>
        </w:tc>
        <w:tc>
          <w:tcPr>
            <w:tcW w:w="75"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b/>
              </w:rPr>
            </w:pPr>
            <w:r>
              <w:rPr>
                <w:b/>
              </w:rPr>
              <w:t>Total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70,300,948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Includes 6,232,857 shares issued to the Sponsor and related parties at the Closing, of which 549,500 shares (the “</w:t>
      </w:r>
      <w:r>
        <w:rPr>
          <w:rFonts w:ascii="Times New Roman;Times;Serif" w:hAnsi="Times New Roman;Times;Serif"/>
          <w:b/>
          <w:i/>
          <w:caps w:val="false"/>
          <w:smallCaps w:val="false"/>
          <w:sz w:val="20"/>
        </w:rPr>
        <w:t>Vesting Sponsor Shares”</w:t>
      </w:r>
      <w:r>
        <w:rPr>
          <w:rFonts w:ascii="Times New Roman;Times;Serif" w:hAnsi="Times New Roman;Times;Serif"/>
          <w:b w:val="false"/>
          <w:i/>
          <w:caps w:val="false"/>
          <w:smallCaps w:val="false"/>
          <w:sz w:val="20"/>
        </w:rPr>
        <w:t>) are subject to vesting and forfeiture conditions pursuant to the Business Combination Agreement. Although legally issued and outstanding, the Vesting Sponsor Shares are not considered outstanding for accounting purposes until the applicable vesting conditions are satisfied.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applicable rules and regulations of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Any reference in these notes to applicable guidance is meant to refer to U.S. GAAP, as found in the ASC and Accounting Standards Updates (“</w:t>
      </w:r>
      <w:r>
        <w:rPr>
          <w:rFonts w:ascii="Times New Roman;Times;Serif" w:hAnsi="Times New Roman;Times;Serif"/>
          <w:b/>
          <w:i w:val="false"/>
          <w:caps w:val="false"/>
          <w:smallCaps w:val="false"/>
          <w:sz w:val="20"/>
        </w:rPr>
        <w:t>ASUs”</w:t>
      </w:r>
      <w:r>
        <w:rPr>
          <w:rFonts w:ascii="Times New Roman;Times;Serif" w:hAnsi="Times New Roman;Times;Serif"/>
          <w:b w:val="false"/>
          <w:i w:val="false"/>
          <w:caps w:val="false"/>
          <w:smallCaps w:val="false"/>
          <w:sz w:val="20"/>
        </w:rPr>
        <w:t>) of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The consolidated financial statements include the financial statements of Terra Innovatum Global N.V. and its subsidiaries. All intercompany balances and transactions have been eliminated. The consolidated financial statements have been prepared on a going concern basis based on the Company’s cash and cash equivalents of $102,882 as of December 31, 2025 and the Company’s budgeted cash flows for the twelve months following the issuance date of June 15,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are presented in U.S. dollars and include the accounts of the Company and its wholly owned subsidiaries. All intercompany balances and transactions have been eliminated in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whether to consolidate an entity based on whether it has a controlling financial interest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ASC 810”</w:t>
      </w:r>
      <w:r>
        <w:rPr>
          <w:rFonts w:ascii="Times New Roman;Times;Serif" w:hAnsi="Times New Roman;Times;Serif"/>
          <w:b w:val="false"/>
          <w:i w:val="false"/>
          <w:caps w:val="false"/>
          <w:smallCaps w:val="false"/>
          <w:sz w:val="20"/>
        </w:rPr>
        <w:t>). A controlling financial interest may be established through either (i) the variable interest entity (“</w:t>
      </w:r>
      <w:r>
        <w:rPr>
          <w:rFonts w:ascii="Times New Roman;Times;Serif" w:hAnsi="Times New Roman;Times;Serif"/>
          <w:b/>
          <w:i w:val="false"/>
          <w:caps w:val="false"/>
          <w:smallCaps w:val="false"/>
          <w:sz w:val="20"/>
        </w:rPr>
        <w:t>VIE”</w:t>
      </w:r>
      <w:r>
        <w:rPr>
          <w:rFonts w:ascii="Times New Roman;Times;Serif" w:hAnsi="Times New Roman;Times;Serif"/>
          <w:b w:val="false"/>
          <w:i w:val="false"/>
          <w:caps w:val="false"/>
          <w:smallCaps w:val="false"/>
          <w:sz w:val="20"/>
        </w:rPr>
        <w:t>) model or (ii) voting interest model (“</w:t>
      </w:r>
      <w:r>
        <w:rPr>
          <w:rFonts w:ascii="Times New Roman;Times;Serif" w:hAnsi="Times New Roman;Times;Serif"/>
          <w:b/>
          <w:i w:val="false"/>
          <w:caps w:val="false"/>
          <w:smallCaps w:val="false"/>
          <w:sz w:val="20"/>
        </w:rPr>
        <w:t>VOE”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 (iii) 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the Company applies the voting interest model and consolidates its subsidiaries based on its controlling financial interest, which is evidenced by 100% ownership of the voting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liabilities, expenses, and disclosures of contingencies. Significant estimates include, but are not limited to, the fair value of share-settled contingent liabilities, equity-based compensation, warrant valuations, PIPE Financing valuation, useful lives of long-lived assets, and deferred tax assets and related valuation allowances. Actual results may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 Gains and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while its functional currency is the Euro (“€”), which it uses for conducting business and maintaining its books and records. The accompanying consolidated financial statements are presented in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consolidated statements of operations, as such amounts are considered an integral component of the overall fair value measurement. For other monetary assets and liabilities not measured at fair value, foreign exchange gains and losses are presented within other income (expense), net in the consolidated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830-30, </w:t>
      </w:r>
      <w:r>
        <w:rPr>
          <w:rFonts w:ascii="Times New Roman;Times;Serif" w:hAnsi="Times New Roman;Times;Serif"/>
          <w:b w:val="false"/>
          <w:i/>
          <w:caps w:val="false"/>
          <w:smallCaps w:val="false"/>
          <w:sz w:val="20"/>
        </w:rPr>
        <w:t>Translation of Financial Statements</w:t>
      </w:r>
      <w:r>
        <w:rPr>
          <w:rFonts w:ascii="Times New Roman;Times;Serif" w:hAnsi="Times New Roman;Times;Serif"/>
          <w:b w:val="false"/>
          <w:i w:val="false"/>
          <w:caps w:val="false"/>
          <w:smallCaps w:val="false"/>
          <w:sz w:val="20"/>
        </w:rPr>
        <w:t>, the Company and its subsidiary, Terra Innovatum Srl., translate their assets and liabilities from their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Times;Serif" w:hAnsi="Times New Roman;Times;Serif"/>
          <w:b/>
          <w:i w:val="false"/>
          <w:caps w:val="false"/>
          <w:smallCaps w:val="false"/>
          <w:sz w:val="20"/>
        </w:rPr>
        <w:t>AOCI”</w:t>
      </w:r>
      <w:r>
        <w:rPr>
          <w:rFonts w:ascii="Times New Roman;Times;Serif" w:hAnsi="Times New Roman;Times;Serif"/>
          <w:b w:val="false"/>
          <w:i w:val="false"/>
          <w:caps w:val="false"/>
          <w:smallCaps w:val="false"/>
          <w:sz w:val="20"/>
        </w:rPr>
        <w:t>) within the consolidated statements of changes in shareholders’ deficit.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are translated at average exchange rates for the reporting period. As a result, the amounts presented in the consolidated statements of cash flows may not directly reconcile with the corresponding changes in balances reported on the balance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net foreign currency transaction losses recognized in the consolidated statements of operations and comprehensive income, primarily from remeasurement of monetary assets and liabilities denominated in currencies other than the functional currency, totaled approximately $1 and are included in other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date of purchase to be cash equivalents. Cash equivalents are stated at cost, which approximates market value, because of the short maturity of these instruments. The Company had $102,882 and $69 in cash as of December 31, 2025 and 2024, respectively. The Company had no cash equivalents as of December 31, 2025 and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generated from engineering consulting services provided to related parties that are unrelated to the Company’s core business. This income is recognized as the related performance obligations are satisfied.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director and contractor compensation, professional and consulting fees, software subscription and IT costs, office rent, vehicle rentals, and other facility-related expenses, insurance, bank charges, travel and lodging, membership fees, conference and registration costs, advertising and corporate representation costs, taxes and duties, and other governmental fees, depreciation of computer equipment, licenses, trademarks, capitalized development amortization, as well as stock-based compensation. General and administrative costs also include expenses recognized based on the underlying terms of each agreement, whereby milestone-based obligations are recorded when the related milestone is achieved, recurring service arrangements are recognized over time as services are received, and one-time deliverables are expensed at the point in time the service or deliverable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represent costs incurred to design and engineer SOLO. These costs include personnel-related expenses (such as salaries, employee benefits and bonuses), software and computing costs, hardware and experimental supplies, and fees for outside engineering, analytical, and consulting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amounts paid in advance for goods or services to be consumed in future periods and other assets expected to be realized within one year. Prepaid expenses are recorded when paid and are expensed on a straight-line or usage-based basis over the periods in which the related benefits are received, in accordance with ASC 340.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fixed assets are comprised of computer equipment. Computer equipment is stated at cost, net of accumulated depreciation. The Company capitalizes purchases of computer equipment that exceed its capitalization threshold and have a useful life of greater than one year. Depreciation is computed using the straight-line method over the estimated useful life of the asset. For computer equipment, the Company has determined a useful life of 6 years. Depreciation expense is recognized beginning in the month the asset is placed into service. Maintenance and repairs are expensed as incurred, while improvements that extend the useful life or enhance the functionality of the equipment are capitalized. Upon retirement or disposal of assets, the cost and related accumulated depreciation are removed from the respective accounts, and any resulting gain or loss is recognized in the period of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842 to all lease arrangements. The Company’s office leases qualify as short-term leases (terms of 12 months or less), for which the Company elected the short-term lease exemption. Accordingly, no right-of-use asset or lease liability is recognized. Lease expense for short-term leases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assets and liabilities at fair value in accordance with ASC 820.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28"/>
        <w:gridCol w:w="9402"/>
      </w:tblGrid>
      <w:tr>
        <w:trPr/>
        <w:tc>
          <w:tcPr>
            <w:tcW w:w="7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Level 1 —</w:t>
            </w:r>
          </w:p>
        </w:tc>
        <w:tc>
          <w:tcPr>
            <w:tcW w:w="9402" w:type="dxa"/>
            <w:tcBorders/>
            <w:vAlign w:val="center"/>
          </w:tcPr>
          <w:p>
            <w:pPr>
              <w:pStyle w:val="TableContents"/>
              <w:bidi w:val="0"/>
              <w:spacing w:before="0" w:after="283"/>
              <w:jc w:val="left"/>
              <w:rPr/>
            </w:pPr>
            <w:r>
              <w:rPr/>
              <w:t>Quoted prices in active markets for identical instruments.</w:t>
            </w:r>
          </w:p>
        </w:tc>
      </w:tr>
      <w:tr>
        <w:trPr/>
        <w:tc>
          <w:tcPr>
            <w:tcW w:w="7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Level 2 —</w:t>
            </w:r>
          </w:p>
        </w:tc>
        <w:tc>
          <w:tcPr>
            <w:tcW w:w="9402" w:type="dxa"/>
            <w:tcBorders/>
            <w:vAlign w:val="center"/>
          </w:tcPr>
          <w:p>
            <w:pPr>
              <w:pStyle w:val="TableContents"/>
              <w:bidi w:val="0"/>
              <w:spacing w:before="0" w:after="283"/>
              <w:jc w:val="left"/>
              <w:rPr/>
            </w:pPr>
            <w:r>
              <w:rPr/>
              <w:t>Quoted prices for similar instruments in active markets; quoted prices for identical or similar instruments in markets that are not active; and model-derived valuations in which all significant inputs and significant value drivers are observable in active markets.</w:t>
            </w:r>
          </w:p>
        </w:tc>
      </w:tr>
      <w:tr>
        <w:trPr/>
        <w:tc>
          <w:tcPr>
            <w:tcW w:w="7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Level 3 —</w:t>
            </w:r>
          </w:p>
        </w:tc>
        <w:tc>
          <w:tcPr>
            <w:tcW w:w="9402" w:type="dxa"/>
            <w:tcBorders/>
            <w:vAlign w:val="center"/>
          </w:tcPr>
          <w:p>
            <w:pPr>
              <w:pStyle w:val="TableContents"/>
              <w:bidi w:val="0"/>
              <w:spacing w:before="0" w:after="283"/>
              <w:jc w:val="left"/>
              <w:rPr/>
            </w:pPr>
            <w:r>
              <w:rPr/>
              <w:t>Valuations derived from valuation techniques in which one or more significant inputs or significant value drivers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Derivative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and other equity-linked financial instruments, including contingently issuable warrants, under ASC 815-40, </w:t>
      </w:r>
      <w:r>
        <w:rPr>
          <w:rFonts w:ascii="Times New Roman;Times;Serif" w:hAnsi="Times New Roman;Times;Serif"/>
          <w:b w:val="false"/>
          <w:i/>
          <w:caps w:val="false"/>
          <w:smallCaps w:val="false"/>
          <w:sz w:val="20"/>
        </w:rPr>
        <w:t>Derivatives and Hedging—Contracts in an Entity’s Own Equity</w:t>
      </w:r>
      <w:r>
        <w:rPr>
          <w:rFonts w:ascii="Times New Roman;Times;Serif" w:hAnsi="Times New Roman;Times;Serif"/>
          <w:b w:val="false"/>
          <w:i w:val="false"/>
          <w:caps w:val="false"/>
          <w:smallCaps w:val="false"/>
          <w:sz w:val="20"/>
        </w:rPr>
        <w:t xml:space="preserve">, and ASC 480-10,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to determine appropriate classification and subsequent measurement.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resolution of a contingency for instruments that qualify for equity classification, any previously liability-classified warrants are reclassified to equity at their fair value on the resolution date and are not remeasured thereafter.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Share-settled Contingent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consolidated statements of operations and comprehensive income. The liability is derecognized upon settlement or extinguishment of the underlying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Bridge Loans (as defined in Note 7 – Bridge Loans) and other debt instruments at amortized cost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Debt is initially recognized net of original issue discounts and debt issuance costs, which are amortized using the effective interest method over the contractual term. PIK interest is accrued as incurred, added to the principal balance, and recognized in interest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debt into equity pursuant to the contractual terms (e.g., at the closing of a business combination), the carrying amount of the debt—including principal, accrued PIK interest, and unamortized discounts and issuance costs—is derecognized and reclassified to equity, and no gain or loss is recognized, consistent with ASC 470-20-40-4.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equity-based awards granted to employees, directors, and nonemployees in accordance with ASC 718, Compensation-Stock Compensation. Equity-based awards are measured at their grant-date fair value and recognized as compensation cost over the requisite service period. Fair value is determined using the Black-Scholes option-pricing model, the Monte Carlo valuation model, or other appropriate valuation techniques depending on terms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and Director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awards granted to employees and directors that contain service conditions are recognized as compensation expense over the requisite service period using either a straight-line or graded vesting attribution method, based on the terms of the award. For employee and director awards with cliff-vesting provisions, compensation cost is recognized on a straight-line basis over the requisite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awards granted to nonemployees are accounted for on the same measurement basis as employee awards and are measured at grant-date fair value once the performance or service criteria for grant-date classification are met. However, compensation cost for nonemployee awards is recognized over the period in which the goods or services are provided, using an attribution method consistent with the pattern in which the related goods or services are received, as if the Company had paid cash for those goods or services. The Company applies judgment in determining the appropriate attribution method for nonemployee awards, and the straight-line or graded vesting attribution election applicable to employee awards does not apply to nonemployee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grant date fair value of nonemployee awards using a Black-Scholes option pricing model that requires management to make assumptions and judgments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The estimate of the expected term of awards is determined in accordance with the simplified method which estimates the term based on an averaging of the vesting period and contractual term of the option grant for employee awards. The Company uses the contractual term for non-employee awards.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The Company determines the expected volatility by weighing the historical average volatilities of publicly traded industry peers and its own trading history. The Company intends to continue to consistently apply this methodology using the same or similar public companies until a sufficient amount of historical information regarding the volatility of the Company’s own common share price becomes available, unless circumstances change such that the identified companies are no longer similar to the Company, in which case more suitable company stock prices that are publicly available would be utilized in the calculation.</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The risk-free interest rate used to value nonemployee awards is based on the United States Treasury yield in effect at the time of grant for a period consistent with the expected term of the award.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 The Company has never declared or paid any cash dividends and does not presently plan to pay cash dividends for the foreseeable future.</w:t>
            </w:r>
          </w:p>
        </w:tc>
      </w:tr>
    </w:tbl>
    <w:p>
      <w:pPr>
        <w:pStyle w:val="TextBody"/>
        <w:bidi w:val="0"/>
        <w:spacing w:before="0" w:after="0"/>
        <w:ind w:left="72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rate: Stock-based compensation expense is reduced for forfeitures only when they occur.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Stock: The closing price of the Company’s common shares on Nasdaq is used as the fair value of the common shares.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9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and Supplier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deposits with financial institutions that may exceed federally insured limits. The Company is also dependent on a limited number of specialized engineering and nuclear-technology vendors. The loss of any such vendor could have a material impact on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liability for loss contingencies when it is probable that a loss has been incurred and the amount is reasonably estimable. Gain contingencies are recognized only when realized.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establishes standards for reporting and display of comprehensive income or loss, its components and accumulated balances. Comprehensive income or loss as defined includes all changes in equity during a period from non-owner sources. Accumulated comprehensive (loss) income, as presented in the accompanying consolidated statements of changes in shareholders’ deficit, consists of changes in unrealized gains and losses on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(Loss) Per Share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share is computed by dividing net income attributable to ordinary shareholders by the weighted-average number of ordinary shares outstanding during the period. Diluted net income (loss) per share reflects the potential dilution that could occur if potential ordinary shares were issued and is computed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Potential ordinary shares may include, among others, contingently issuable shares and warrants evaluated under the treasury stock method, if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a single operating segment. Operating segments are identified based on the information reviewed by the Company’s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for purposes of allocating resources and assessing performance. The Company has determined that its chief executive officer and founding officers, acting collectively, constitute the CODM.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on a consolidated basis, including consolidated statements of operations, balance sheets, cash flows, and key expense metrics, such as general and administrative expenses and development costs. Discrete financial information is not prepared or reviewed by product line, function, or geographic area. As a result, the Company has one operating segment, which is also its single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in accordance with ASC Topic 740, Income Taxes (“</w:t>
      </w:r>
      <w:r>
        <w:rPr>
          <w:rFonts w:ascii="Times New Roman;Times;Serif" w:hAnsi="Times New Roman;Times;Serif"/>
          <w:b/>
          <w:i w:val="false"/>
          <w:caps w:val="false"/>
          <w:smallCaps w:val="false"/>
          <w:sz w:val="20"/>
        </w:rPr>
        <w:t>ASC 740”</w:t>
      </w:r>
      <w:r>
        <w:rPr>
          <w:rFonts w:ascii="Times New Roman;Times;Serif" w:hAnsi="Times New Roman;Times;Serif"/>
          <w:b w:val="false"/>
          <w:i w:val="false"/>
          <w:caps w:val="false"/>
          <w:smallCaps w:val="false"/>
          <w:sz w:val="20"/>
        </w:rPr>
        <w:t>). Under this method, deferred tax assets and liabilities are recognized for the expected future tax consequences of temporary differences between the financial statement carrying amounts and the tax bases of assets and liabilities,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enacted tax rates is recognized in income in the period that includes the enactment date (ASC 740-10-45-15).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valuation allowance when it believes that its deferred tax assets are not recoverable based on an assessment of estimated future taxable income that incorporates ongoing, prudent and feasible tax-planning strategies, that would be implemented, if necessary, to realize the deferred tax assets. Amounts recorded for valuation allowances require judgments about future income which can depend heavily on estimates and assumptions. All deferred tax assets and liabilities within the same tax jurisdiction are presented as a net amount in the noncurrent deferred tax assets or noncurrent deferred tax liabilities sections of our consolidated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recognition and measurement provisions of ASC 740-10-25 with respect to uncertain tax positions. A tax benefit is recognized only when it is more likely than not (a likelihood of more than 50%) that the position will be sustained upon examination by the relevant taxing authority based on its technical merits. The amount of tax benefit recognized is the largest amount that has a greater than 50% likelihood of being realized upon ultimate settlement.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of interest and penalties (ASC 740-10-45-25). The Company has elected to classify interest accrued on underpayments of income taxes and penalties related to uncertain tax positions as a component of income tax expense in the consolidated statements of operations and comprehensive loss. Accrued interest and penalties are included within income taxes payable (or other non-current tax liabilities, as applicable) on the consolidated balance sheet. This policy is applied consistently across all jurisdictions in which the Company operates.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Jumpstart Our Business Startups Act of 2012 (“</w:t>
      </w:r>
      <w:r>
        <w:rPr>
          <w:rFonts w:ascii="Times New Roman;Times;Serif" w:hAnsi="Times New Roman;Times;Serif"/>
          <w:b/>
          <w:i w:val="false"/>
          <w:caps w:val="false"/>
          <w:smallCaps w:val="false"/>
          <w:sz w:val="20"/>
        </w:rPr>
        <w:t>the JOBS Act”</w:t>
      </w:r>
      <w:r>
        <w:rPr>
          <w:rFonts w:ascii="Times New Roman;Times;Serif" w:hAnsi="Times New Roman;Times;Serif"/>
          <w:b w:val="false"/>
          <w:i w:val="false"/>
          <w:caps w:val="false"/>
          <w:smallCaps w:val="false"/>
          <w:sz w:val="20"/>
        </w:rPr>
        <w: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w:t>
      </w:r>
      <w:r>
        <w:rPr>
          <w:rFonts w:ascii="Times New Roman;Times;Serif" w:hAnsi="Times New Roman;Times;Serif"/>
          <w:b/>
          <w:i w:val="false"/>
          <w:caps w:val="false"/>
          <w:smallCaps w:val="false"/>
          <w:sz w:val="20"/>
        </w:rPr>
        <w:t>ASU”</w:t>
      </w:r>
      <w:r>
        <w:rPr>
          <w:rFonts w:ascii="Times New Roman;Times;Serif" w:hAnsi="Times New Roman;Times;Serif"/>
          <w:b w:val="false"/>
          <w:i w:val="false"/>
          <w:caps w:val="false"/>
          <w:smallCaps w:val="false"/>
          <w:sz w:val="20"/>
        </w:rPr>
        <w:t>) No. 2023-09, Income Taxes (Topic 740): Improvements to Income Tax Disclosures, which requires, among other things: (i) a disaggregated effective tax rate reconciliation using both percentages and reporting currency amounts, with separate disclosure of items meeting or exceeding a 5% threshold; and (ii) disaggregated income taxes paid by jurisdiction. The Company adopted ASU 2023-09 for the annual period ending December 31, 2025, on a prospective basis in accordance with ASC 740-10-65-9. The adoption affected only the Company’s income tax disclosures and had no impact on its consolidated financial position, results of operations,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Subsequently, in January 2025, the FASB issued ASU No. 2025-01 to clarify the effective date of this guidance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2025-07, </w:t>
      </w:r>
      <w:r>
        <w:rPr>
          <w:rFonts w:ascii="Times New Roman;Times;Serif" w:hAnsi="Times New Roman;Times;Serif"/>
          <w:b w:val="false"/>
          <w:i/>
          <w:caps w:val="false"/>
          <w:smallCaps w:val="false"/>
          <w:sz w:val="20"/>
        </w:rPr>
        <w:t>Derivatives and Hedging (Topic 815) and Revenue from Contracts with Customers (Topic 606): Derivative Scope Refinements and Scope Clarification for Share-Based Noncash Consideration from a Customer in a Revenue Contract</w:t>
      </w:r>
      <w:r>
        <w:rPr>
          <w:rFonts w:ascii="Times New Roman;Times;Serif" w:hAnsi="Times New Roman;Times;Serif"/>
          <w:b w:val="false"/>
          <w:i w:val="false"/>
          <w:caps w:val="false"/>
          <w:smallCaps w:val="false"/>
          <w:sz w:val="20"/>
        </w:rPr>
        <w:t xml:space="preserve"> (ASU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permitted. The Company is currently evaluating the impact of the adoption of this pronouncement, if 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and 2024, the Company earned other income of $0 and $129, respectively. The consulting services are unrelated to the core business of the Company and are included in the statement of operations under other income —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Massimo Morichi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2025, the Company entered into a consulting agreement with Massimo Morici, the Company’s Chief Strategy Officer and a member of the Board of Directors, which was amended on December 23, 2025 and extended to December 31, 2025, pursuant to which Mr. Morici provided strategic and consulting services. During the year ended December 31, 2025, the Company awarded Mr. Morici an extraordinary bonus of $119 in connection with the completion of the business combination and related listing, costs of $79 for reimbursable expenses under the agreement (treated as compensation for services) and paid approximately $198 to Mr. Morici for his consultancy services. This consultancy expired on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Guillaume Moyen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Company entered into a consulting agreement with Guillaume Moyen, the Company’s former Chief Financial Officer and a former member of the Board of Directors, which was amended on September 30, 2025, pursuant to which Mr. Moyen provided business support and advisory services. During the year ended December 31, 2025, the Company awarded Mr. Moyen an extraordinary bonus of $100 in connection with the completion of the business combination and related listing and paid approximately $167 to Mr. Moyen for his consultancy services. This consultancy expired on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the Company entered into two interest free- loan agreements with Legacy Terra quotaholders (related parties), consisting of (i) an agreement executed in 2024 for approximately $216 (the “</w:t>
      </w:r>
      <w:r>
        <w:rPr>
          <w:rFonts w:ascii="Times New Roman;Times;Serif" w:hAnsi="Times New Roman;Times;Serif"/>
          <w:b/>
          <w:i w:val="false"/>
          <w:caps w:val="false"/>
          <w:smallCaps w:val="false"/>
          <w:sz w:val="20"/>
        </w:rPr>
        <w:t>2024 Loan Agreement”</w:t>
      </w:r>
      <w:r>
        <w:rPr>
          <w:rFonts w:ascii="Times New Roman;Times;Serif" w:hAnsi="Times New Roman;Times;Serif"/>
          <w:b w:val="false"/>
          <w:i w:val="false"/>
          <w:caps w:val="false"/>
          <w:smallCaps w:val="false"/>
          <w:sz w:val="20"/>
        </w:rPr>
        <w:t>), which was fully funded by March 31, 2025, and (ii) an agreement executed on March 21, 2025 for $74 (the “</w:t>
      </w:r>
      <w:r>
        <w:rPr>
          <w:rFonts w:ascii="Times New Roman;Times;Serif" w:hAnsi="Times New Roman;Times;Serif"/>
          <w:b/>
          <w:i w:val="false"/>
          <w:caps w:val="false"/>
          <w:smallCaps w:val="false"/>
          <w:sz w:val="20"/>
        </w:rPr>
        <w:t>2025 Loan Agreement”</w:t>
      </w:r>
      <w:r>
        <w:rPr>
          <w:rFonts w:ascii="Times New Roman;Times;Serif" w:hAnsi="Times New Roman;Times;Serif"/>
          <w:b w:val="false"/>
          <w:i w:val="false"/>
          <w:caps w:val="false"/>
          <w:smallCaps w:val="false"/>
          <w:sz w:val="20"/>
        </w:rPr>
        <w:t>), which was funded through April 10, 2025. Both loans were unsecured and scheduled to mature on December 31, 2040, with automatic annual extensions permitted through December 31, 2045, unless earlier repayment was requested by the Legacy Terra quotaholders. The loans were issued at par with no fees or discounts and do not include any rights or preferences that would affect the economics of the arrangement; accordingly, the terms were negotiated directly with related parties and were not intended to reflect market-based pricing.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contractual terms of the arrangements, no interest was imputed on either loan. The loans were repaid in full upon the Closing of the Business Combination (see Note 2 – Business Combination), and no amounts were outstanding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in the previous year and subsequently year by year, with the first update taking effect on April 1, 2026. During the year ended December 31, 2025, the Company paid $10 in rent.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The costs associated with these services were expensed during the year ended December 31, 2025. Any unpaid amounts as of year-end are included in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entered into an engineering services agreement with FPoliSolutions LLC (“</w:t>
      </w:r>
      <w:r>
        <w:rPr>
          <w:rFonts w:ascii="Times New Roman;Times;Serif" w:hAnsi="Times New Roman;Times;Serif"/>
          <w:b/>
          <w:i w:val="false"/>
          <w:caps w:val="false"/>
          <w:smallCaps w:val="false"/>
          <w:sz w:val="20"/>
        </w:rPr>
        <w:t>FPoli Solutions”</w:t>
      </w:r>
      <w:r>
        <w:rPr>
          <w:rFonts w:ascii="Times New Roman;Times;Serif" w:hAnsi="Times New Roman;Times;Serif"/>
          <w:b w:val="false"/>
          <w:i w:val="false"/>
          <w:caps w:val="false"/>
          <w:smallCaps w:val="false"/>
          <w:sz w:val="20"/>
        </w:rPr>
        <w:t>), a related party. As per the terms of the agreement, FPoliSolutions provided support for the development of the SOLO Micro Modular Reactor including technical assistance in safety analysis, hazard modeling, radiological consequence evaluation, risk-informed safety assessments, and techno-economic analysis for $90 with work completed during September 2025 included within general and administrative expenses in the Company’s consolidated statements of operations and comprehensive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2025, the Company entered into an amendment to its existing engineering services agreement with FPoliSolutions. The amendment extends the scope of work through December 31, 2025, and adds one full-time engineer on a fixed-price basis of $107.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Prepaid Expenses and Other Current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6464" w:type="dxa"/>
        <w:jc w:val="left"/>
        <w:tblInd w:w="0" w:type="dxa"/>
        <w:tblLayout w:type="fixed"/>
        <w:tblCellMar>
          <w:top w:w="0" w:type="dxa"/>
          <w:left w:w="0" w:type="dxa"/>
          <w:bottom w:w="0" w:type="dxa"/>
          <w:right w:w="0" w:type="dxa"/>
        </w:tblCellMar>
      </w:tblPr>
      <w:tblGrid>
        <w:gridCol w:w="4880"/>
        <w:gridCol w:w="60"/>
        <w:gridCol w:w="162"/>
        <w:gridCol w:w="649"/>
        <w:gridCol w:w="69"/>
        <w:gridCol w:w="69"/>
        <w:gridCol w:w="175"/>
        <w:gridCol w:w="325"/>
        <w:gridCol w:w="7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r>
              <w:rPr/>
              <w:t>997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Tax receivables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757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Value added tax</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407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Bank interest accrued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375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243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Technical consultancy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177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Membership fees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Advertising</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27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rPr>
            </w:pPr>
            <w:r>
              <w:rPr>
                <w:b/>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3,148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6794" w:type="dxa"/>
        <w:jc w:val="left"/>
        <w:tblInd w:w="0" w:type="dxa"/>
        <w:tblLayout w:type="fixed"/>
        <w:tblCellMar>
          <w:top w:w="0" w:type="dxa"/>
          <w:left w:w="0" w:type="dxa"/>
          <w:bottom w:w="0" w:type="dxa"/>
          <w:right w:w="0" w:type="dxa"/>
        </w:tblCellMar>
      </w:tblPr>
      <w:tblGrid>
        <w:gridCol w:w="5210"/>
        <w:gridCol w:w="60"/>
        <w:gridCol w:w="162"/>
        <w:gridCol w:w="649"/>
        <w:gridCol w:w="69"/>
        <w:gridCol w:w="69"/>
        <w:gridCol w:w="175"/>
        <w:gridCol w:w="325"/>
        <w:gridCol w:w="75"/>
      </w:tblGrid>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Legal, accounting and other professional services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r>
              <w:rPr/>
              <w:t>947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Wages payable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329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Value added tax payable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315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Technical consultancy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238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Directors compensation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113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Corporate and regional taxes payable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b/>
              </w:rPr>
            </w:pPr>
            <w:r>
              <w:rPr>
                <w:b/>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2,009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3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Bridge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and Terms (Pre-Business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May, June, August and September 2025, Terra Innovatum Global Srl. entered into unsecured note subscription agreements (the “</w:t>
      </w:r>
      <w:r>
        <w:rPr>
          <w:rFonts w:ascii="Times New Roman;Times;Serif" w:hAnsi="Times New Roman;Times;Serif"/>
          <w:b/>
          <w:i w:val="false"/>
          <w:caps w:val="false"/>
          <w:smallCaps w:val="false"/>
          <w:sz w:val="20"/>
        </w:rPr>
        <w:t>Bridge Loans”</w:t>
      </w:r>
      <w:r>
        <w:rPr>
          <w:rFonts w:ascii="Times New Roman;Times;Serif" w:hAnsi="Times New Roman;Times;Serif"/>
          <w:b w:val="false"/>
          <w:i w:val="false"/>
          <w:caps w:val="false"/>
          <w:smallCaps w:val="false"/>
          <w:sz w:val="20"/>
        </w:rPr>
        <w:t>) with multiple lenders for aggregate gross proceeds of $5,690. The Bridge Loans bear interest at a fixed annual rate of 15%, payable-in-kind- (“</w:t>
      </w:r>
      <w:r>
        <w:rPr>
          <w:rFonts w:ascii="Times New Roman;Times;Serif" w:hAnsi="Times New Roman;Times;Serif"/>
          <w:b/>
          <w:i w:val="false"/>
          <w:caps w:val="false"/>
          <w:smallCaps w:val="false"/>
          <w:sz w:val="20"/>
        </w:rPr>
        <w:t>PIK”</w:t>
      </w:r>
      <w:r>
        <w:rPr>
          <w:rFonts w:ascii="Times New Roman;Times;Serif" w:hAnsi="Times New Roman;Times;Serif"/>
          <w:b w:val="false"/>
          <w:i w:val="false"/>
          <w:caps w:val="false"/>
          <w:smallCaps w:val="false"/>
          <w:sz w:val="20"/>
        </w:rPr>
        <w:t>) on the outstanding principal, and mature one year from their issuance dates. The Bridge Loans provided for mandatory early redemption upon consummation of a qualifying business combination. A portion of the Bridge Loans was issued to certain related parties. A portion of the Bridge Loans totaling $690 in aggregate principal was issued to certain employees of GSR III who were related parties prior to the Business Combination. Bridge Loans issued to related parties were on the same terms and conditions as those issued to third-party lenders.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total debt discount of $4,318 for the Bridge Loans as a result of the allocation of proceeds to the warrants that were to be issued following consummation of the Merger, and incurred total debt issuance costs of $14 which were amortized over the term of the loans using the effective interest method or the straight-line method, applicable. Interest expense, including expense related to PIK interest of $251 and amortization of debt discount of $1,198 offset by approximately $23 related to foreign exchange differences, for the year ended December 31, 2025 totaled $1,426.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Terra Innovatum Global Srl. executed letter agreements providing that, upon completion of the Business Combination, all outstanding principal and accrued PIK interest would automatically convert into ordinary shares at a fixed price of $7.00 per share (the “</w:t>
      </w:r>
      <w:r>
        <w:rPr>
          <w:rFonts w:ascii="Times New Roman;Times;Serif" w:hAnsi="Times New Roman;Times;Serif"/>
          <w:b/>
          <w:i w:val="false"/>
          <w:caps w:val="false"/>
          <w:smallCaps w:val="false"/>
          <w:sz w:val="20"/>
        </w:rPr>
        <w:t>Bridge Loan Conversion”</w:t>
      </w:r>
      <w:r>
        <w:rPr>
          <w:rFonts w:ascii="Times New Roman;Times;Serif" w:hAnsi="Times New Roman;Times;Serif"/>
          <w:b w:val="false"/>
          <w:i w:val="false"/>
          <w:caps w:val="false"/>
          <w:smallCaps w:val="false"/>
          <w:sz w:val="20"/>
        </w:rPr>
        <w:t>). If the Business Combination did not occur by April 30, 2026, the conversion price would be based on a valuation of $100,000 divided by the fully diluted equity of Terra Innovatum Global Srl. The agreements also provided lenders a liquidation preference on shares received upon conversion, which terminated upon consummation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and September 2025 Amendments (Pre-Business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Bridge Loan agreements were amended to (i) limit the liquidation preference to apply only upon termination of the Business Combination, (ii) define the coverage amount as 100% of the total number of shares issued upon conversion, and (iii) require the Company, upon a successful business combination, to issue two sets of warrants to the lenders, with exercise prices of $11.50 and $15.00 per share, each exercisable for 36 months and with no anti-dilution provisions. In addition, lenders were entitled to a 3% PIPE fundraising commission, payable in cash or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Closing, the Bridge Loans and related terms were recognized by Terra Innovatum Srl. and are included in the Company’s consolidated financial statements for the periods presented prior to the Business Combination. The Company recorded (i) 15% PIK interest as interest expense, (ii) amortization of debt discounts and issuance costs using the effective interest method or the straight-line method, as applicable, and (iii) changes in fair value in other income (expense). See </w:t>
      </w:r>
      <w:r>
        <w:rPr>
          <w:rFonts w:ascii="Times New Roman;Times;Serif" w:hAnsi="Times New Roman;Times;Serif"/>
          <w:b w:val="false"/>
          <w:i/>
          <w:caps w:val="false"/>
          <w:smallCaps w:val="false"/>
          <w:sz w:val="20"/>
        </w:rPr>
        <w:t>Note 8 - Fair Value Measurements</w:t>
      </w:r>
      <w:r>
        <w:rPr>
          <w:rFonts w:ascii="Times New Roman;Times;Serif" w:hAnsi="Times New Roman;Times;Serif"/>
          <w:b w:val="false"/>
          <w:i w:val="false"/>
          <w:caps w:val="false"/>
          <w:smallCaps w:val="false"/>
          <w:sz w:val="20"/>
        </w:rPr>
        <w:t xml:space="preserve"> for valuation information and </w:t>
      </w:r>
      <w:r>
        <w:rPr>
          <w:rFonts w:ascii="Times New Roman;Times;Serif" w:hAnsi="Times New Roman;Times;Serif"/>
          <w:b w:val="false"/>
          <w:i/>
          <w:caps w:val="false"/>
          <w:smallCaps w:val="false"/>
          <w:sz w:val="20"/>
        </w:rPr>
        <w:t>Note 2 - Business Combination</w:t>
      </w:r>
      <w:r>
        <w:rPr>
          <w:rFonts w:ascii="Times New Roman;Times;Serif" w:hAnsi="Times New Roman;Times;Serif"/>
          <w:b w:val="false"/>
          <w:i w:val="false"/>
          <w:caps w:val="false"/>
          <w:smallCaps w:val="false"/>
          <w:sz w:val="20"/>
        </w:rPr>
        <w:t xml:space="preserve"> regarding the accounting acquirer and transaction 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Loans, the Company issued warrants to the lenders (see Note 9 — Warrants). The warrants were classified as liabilities and recorded at fair value. As the fair value of the warrant liabilities exceeded the aggregate proceeds received, certain proceeds were allocated to the warrant liabilities, resulting in the Bridge Loans being recorded at an initial carrying value of zero and a day-one loss of $1,363 recognized in other income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and Warrants Issued at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on October 9, 2025, all outstanding principal, unamortized debt issuance cost and accrued PIK interest under the Bridge Loans automatically converted into 851,483 ordinary shares at $7.00 per share. In connection with the conversion, the Company issued warrants to purchase up to 851,483 ordinary shares at $11.50 per share and up to 851,483 ordinary shares at $15.00 per share, each exercisable for 36 months from Closing (see Note 9 – Warrants for more information). As a result of the conversion on October 9, 2025, no Bridge Loans remained outstanding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Not Recorded at Fair Value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short-term nature, the carrying value of the Company’s cash and cash equivalents, and other current assets, accounts receivable, accounts payable, Related party loan, non-current, and other non-current liabilities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Share-settled Contingent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 Business Combination and Note 10 – Shareholders’ Deficit, at Closing the Company entered into share-settled arrangements involving (i) contingently Convertible Preferred Shares issued to former Terra Innovatum Global Srl. quotaholders and (ii) contingently vesting Sponsor ordinary shares subject to market-based and regulatory milestones. These arrangements may result in the issuance or vesting of a variable number of ordinary shares and are not solely indexed to the Company’s stock. As a result, they were initially classified and measured as liabilities at fair value, with the related amounts recorded within share-settled contingent liability in the consolidated balance sheet.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certain milestones were achieved, resulting in the settlement of a portion of these arrangements. Immediately prior to settlement, the corresponding share-settled contingent liability was remeasured to fair value, and the resulting change in fair value was recognized in change in fair value – share-settled contingent liability. Upon settlement, the related liability was reclassified to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unearned milestone tranches remain classified as share-settled contingent liabilities and are remeasured at fair value at each reporting date, with changes recognized in earnings until the applicable milestones are achieved or expire.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summary of changes in the estimated fair value of the Share-Settled Contingent Liability using significant Level 3 inputs: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Issuance of Share-settled 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1,250,223</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Settlements/derecognition to equity upon milestone achievement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(514,510</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Gain recognized in earnings due to change of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(559,967</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 xml:space="preserve">Foreign currency translation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186,323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Share-Settled Contingent Liability using the Monte Carlo option pricing model with the following inputs:</w:t>
      </w:r>
    </w:p>
    <w:p>
      <w:pPr>
        <w:pStyle w:val="TextBody"/>
        <w:bidi w:val="0"/>
        <w:spacing w:before="0" w:after="0"/>
        <w:ind w:left="0" w:right="0" w:firstLine="36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3830"/>
        <w:gridCol w:w="60"/>
        <w:gridCol w:w="60"/>
        <w:gridCol w:w="890"/>
        <w:gridCol w:w="230"/>
      </w:tblGrid>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6.8</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3.41 - 4.67</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consolidated statements of operations and comprehensive income (loss).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Because the valuation relies on significant unobservable inputs, the liability-classified warrants are classified within Level 3 of the fair value hierarchy.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w:t>
      </w:r>
      <w:r>
        <w:rPr>
          <w:rFonts w:ascii="Times New Roman;Times;Serif" w:hAnsi="Times New Roman;Times;Serif"/>
          <w:b w:val="false"/>
          <w:i w:val="false"/>
          <w:caps w:val="false"/>
          <w:smallCaps w:val="false"/>
          <w:sz w:val="20"/>
          <w:shd w:fill="FFFFFF" w:val="clear"/>
        </w:rPr>
        <w:t>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summarizes the significant assumptions used in the valuation of the liability-classified warrants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830"/>
        <w:gridCol w:w="60"/>
        <w:gridCol w:w="89"/>
        <w:gridCol w:w="831"/>
        <w:gridCol w:w="215"/>
        <w:gridCol w:w="60"/>
        <w:gridCol w:w="89"/>
        <w:gridCol w:w="831"/>
        <w:gridCol w:w="230"/>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w:t>
              <w:br/>
              <w:t>Warrant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Bridge </w:t>
              <w:br/>
              <w:t xml:space="preserve">Loan </w:t>
              <w:br/>
              <w:t>Warrant</w:t>
            </w:r>
          </w:p>
        </w:tc>
        <w:tc>
          <w:tcPr>
            <w:tcW w:w="230" w:type="dxa"/>
            <w:tcBorders/>
            <w:vAlign w:val="center"/>
          </w:tcPr>
          <w:p>
            <w:pPr>
              <w:pStyle w:val="TableContents"/>
              <w:bidi w:val="0"/>
              <w:spacing w:before="0" w:after="283"/>
              <w:jc w:val="center"/>
              <w:rPr/>
            </w:pPr>
            <w:r>
              <w:rPr/>
              <w:t> </w:t>
            </w:r>
          </w:p>
        </w:tc>
      </w:tr>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4.78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2.78</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125.0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3.5</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there were no transfers between levels of the fair value hierarchy.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Classified Warrants – Advisor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 Business Combination, in connection with the Closing of the Business Combination on October 9, 2025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Company issued a warrant to Park Avenue Capital Group Corp. (“</w:t>
      </w:r>
      <w:r>
        <w:rPr>
          <w:rFonts w:ascii="Times New Roman;Times;Serif" w:hAnsi="Times New Roman;Times;Serif"/>
          <w:b/>
          <w:i w:val="false"/>
          <w:caps w:val="false"/>
          <w:smallCaps w:val="false"/>
          <w:sz w:val="20"/>
        </w:rPr>
        <w:t>PAC”</w:t>
      </w:r>
      <w:r>
        <w:rPr>
          <w:rFonts w:ascii="Times New Roman;Times;Serif" w:hAnsi="Times New Roman;Times;Serif"/>
          <w:b w:val="false"/>
          <w:i w:val="false"/>
          <w:caps w:val="false"/>
          <w:smallCaps w:val="false"/>
          <w:sz w:val="20"/>
        </w:rPr>
        <w:t>) pursuant to a financial advisory arrangement entered into in connection with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entitles PAC to purchase up to 1,000,000 Terra ordinary shares at an exercise price of $7.00 per share, subject to adjustment (the “</w:t>
      </w:r>
      <w:r>
        <w:rPr>
          <w:rFonts w:ascii="Times New Roman;Times;Serif" w:hAnsi="Times New Roman;Times;Serif"/>
          <w:b/>
          <w:i w:val="false"/>
          <w:caps w:val="false"/>
          <w:smallCaps w:val="false"/>
          <w:sz w:val="20"/>
        </w:rPr>
        <w:t>Advisor Warrant”</w:t>
      </w:r>
      <w:r>
        <w:rPr>
          <w:rFonts w:ascii="Times New Roman;Times;Serif" w:hAnsi="Times New Roman;Times;Serif"/>
          <w:b w:val="false"/>
          <w:i w:val="false"/>
          <w:caps w:val="false"/>
          <w:smallCaps w:val="false"/>
          <w:sz w:val="20"/>
        </w:rPr>
        <w:t>). The Advisor Warrant became exercisable upon issuance and has a term of five years from the Closing Date, unless earlier exercised in accordance with its terms. The Advisor Warrant may be exercised for cash at the holder’s option. The Company is not required to net cash settle the Advisor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 Warrant was issued in exchange for advisory services provided in connection with the Business Combination and is accounted for as an equity-classified share-based payment award under ASC 718. The grant date for accounting purposes was the Closing Date. The fair value of the Advisor Warrant was measured on the grant date and recognized $12,101 of stock-based compensation expense in the consolidated statements of operations and comprehensive income, with a corresponding increase to additional paid-in capital in the Company’s consolidated balance sheets. The fair value of the Advisor Warrant was determined using a Black-Scholes option pricing model. Significant assumptions considered in the valuation included expected term, expected volatility, risk-free interest rate, and dividend yield.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Classified Warrants – PIPE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Financing, the Company issued the PIPE Warrants to certain investors pursuant to the PIPE Subscription Agreements. The terms of the PIPE Warrants, including the exercise prices, issuance ratios, and contractual term, are described in Note 2 –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PIPE Warrants under ASC 815-40 and determined that the warrants do not meet the criteria for equity classification because the exercise price is denominated in a currency other than the Company’s functional currency. As a result, the warrants are not considered indexed to the Company’s own stock under the fixed-for-fixed criterion. Accordingly, the PIPE Warrants are classified as liabilities in the consolidated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proceeds from the PIPE Financing were allocated to the PIPE Warrants based on their fair values, with the residual amount allocated to the PIPE Shares. The PIPE Warrants were initially recorded at fair value on the Closing Date and are subsequently remeasured at fair value at each reporting date</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the PIPE Warrants are recognized in the consolidated statements of operations within change in fair value of warrant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Classified Warrants – Bridge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 Business Combination, in connection with the conversion of convertible bridge loans outstanding at Closing, the Company issued warrants to bridge lenders.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Warrants are exercisable at $11.50 per share and $15.00 per share, subject to adjustment, and have a term of 36 months from the Closing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Bridge Warrants under ASC 815-40 and determined that the warrants do not meet the criteria for equity classification because the exercise price is denominated in a currency that is not the Company’s functional currency. Accordingly, the Bridge Warrants are not considered indexed to the Company’s own stock and classified as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proceeds from the bridge financing were allocated to the Bridge Warrants based on their fair value, with the residual amount allocated to the related financing instruments. The Bridge Warrants were initially recorded at fair value on the Closing Date and are subsequently remeasured at fair value at each reporting date, with changes in fair value recognized in the consolidated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the Company’s warrant liabilities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0"/>
        <w:gridCol w:w="60"/>
        <w:gridCol w:w="143"/>
        <w:gridCol w:w="777"/>
        <w:gridCol w:w="95"/>
        <w:gridCol w:w="60"/>
        <w:gridCol w:w="227"/>
        <w:gridCol w:w="1032"/>
        <w:gridCol w:w="111"/>
      </w:tblGrid>
      <w:tr>
        <w:trPr/>
        <w:tc>
          <w:tcPr>
            <w:tcW w:w="7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w:t>
              <w:br/>
              <w:t>Warrant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Bridge Loan </w:t>
              <w:br/>
              <w:t>Warrant</w:t>
            </w:r>
          </w:p>
        </w:tc>
        <w:tc>
          <w:tcPr>
            <w:tcW w:w="111"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0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21,401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5,703</w:t>
            </w:r>
          </w:p>
        </w:tc>
        <w:tc>
          <w:tcPr>
            <w:tcW w:w="111"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pPr>
            <w:r>
              <w:rPr/>
              <w:t>Gain recognized in earnings due to change in fair value, net of foreign currency remeasurement impact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(15,100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(1,488</w:t>
            </w:r>
          </w:p>
        </w:tc>
        <w:tc>
          <w:tcPr>
            <w:tcW w:w="111" w:type="dxa"/>
            <w:tcBorders/>
            <w:shd w:fill="CCEEFF" w:val="clear"/>
            <w:vAlign w:val="center"/>
          </w:tcPr>
          <w:p>
            <w:pPr>
              <w:pStyle w:val="TableContents"/>
              <w:bidi w:val="0"/>
              <w:spacing w:before="0" w:after="283"/>
              <w:jc w:val="left"/>
              <w:rPr/>
            </w:pPr>
            <w:r>
              <w:rPr/>
              <w:t>)</w:t>
            </w:r>
          </w:p>
        </w:tc>
      </w:tr>
      <w:tr>
        <w:trPr/>
        <w:tc>
          <w:tcPr>
            <w:tcW w:w="770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FFFFFF" w:val="clear"/>
            <w:tcMar>
              <w:bottom w:w="28" w:type="dxa"/>
            </w:tcMar>
            <w:vAlign w:val="center"/>
          </w:tcPr>
          <w:p>
            <w:pPr>
              <w:pStyle w:val="TableContents"/>
              <w:bidi w:val="0"/>
              <w:spacing w:before="0" w:after="283"/>
              <w:jc w:val="right"/>
              <w:rPr/>
            </w:pPr>
            <w:r>
              <w:rPr/>
              <w:t>90</w:t>
            </w:r>
          </w:p>
        </w:tc>
        <w:tc>
          <w:tcPr>
            <w:tcW w:w="111"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b/>
              </w:rPr>
            </w:pPr>
            <w:r>
              <w:rPr>
                <w:b/>
              </w:rPr>
              <w:t>Balance - December 31, 2025</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4,305</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8 – Fair Value Measurements for information regarding the valuation methodology and significant inputs used to estimate the fair value of the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Shareholder’s Deficit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Articles of Association and Corporate 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Netherlands and adopted its Articles of Association (“</w:t>
      </w:r>
      <w:r>
        <w:rPr>
          <w:rFonts w:ascii="Times New Roman;Times;Serif" w:hAnsi="Times New Roman;Times;Serif"/>
          <w:b/>
          <w:i w:val="false"/>
          <w:caps w:val="false"/>
          <w:smallCaps w:val="false"/>
          <w:sz w:val="20"/>
        </w:rPr>
        <w:t>AOA”</w:t>
      </w:r>
      <w:r>
        <w:rPr>
          <w:rFonts w:ascii="Times New Roman;Times;Serif" w:hAnsi="Times New Roman;Times;Serif"/>
          <w:b w:val="false"/>
          <w:i w:val="false"/>
          <w:caps w:val="false"/>
          <w:smallCaps w:val="false"/>
          <w:sz w:val="20"/>
        </w:rPr>
        <w:t>) on October 6, 2025 in connection with the execution of the notarial deed effecting its cross-border conversion and amendment of its governance documents. The conversion became effective on October 7, 2025. The AOA established, among others, the Company’s capital structure, shareholder rights, dividend provisions, and governance framework.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AOA, the Company is authorized to issue 500,000,000 ordinary shares with a par value of €0.01 per share and 8,040 Convertible Preferred Shares with a par value of €100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are entitled to one vote per share on matters submitted to a shareholder vote, and are entitled to receive dividends when, as, and if declared by the Company’s Board of Directors, after required allocations to the Special Dividend Reserve for Convertible Preferred Shares (as discussed below). Ordinary shareholders also participate pro rata with Convertible Preferred Share shareholders in the distribution of any residual assets upon liquidation. Holders of ordinary shares have pre-emptive rights on the issuance of new ordinary shares, except when pre-emptive rights are limited or excluded pursuant to the provisions of the AOA or for issuances to employees, issuances for non-cash consideration, or issuances pursuant to previously granted subscription rights. Holders of ordinary shares have no pre-emptive rights on the issuance of new Convertible Preferred Shares. Ordinary shares are freely transferable and may be pledged, with voting rights generally remaining with the shareholder unless granted to a pledgee.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Vesting Sponsor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Business Combination, 549,500 ordinary shares issued to the Sponsor upon conversion of GSR III class B ordinary shares were designated as vesting sponsor shares (the “</w:t>
      </w:r>
      <w:r>
        <w:rPr>
          <w:rFonts w:ascii="Times New Roman;Times;Serif" w:hAnsi="Times New Roman;Times;Serif"/>
          <w:b/>
          <w:i w:val="false"/>
          <w:caps w:val="false"/>
          <w:smallCaps w:val="false"/>
          <w:sz w:val="20"/>
        </w:rPr>
        <w:t>Vesting Sponsor Shares”</w:t>
      </w:r>
      <w:r>
        <w:rPr>
          <w:rFonts w:ascii="Times New Roman;Times;Serif" w:hAnsi="Times New Roman;Times;Serif"/>
          <w:b w:val="false"/>
          <w:i w:val="false"/>
          <w:caps w:val="false"/>
          <w:smallCaps w:val="false"/>
          <w:sz w:val="20"/>
        </w:rPr>
        <w:t>). These shares carry the same voting, dividend, and liquidation rights as the Company’s other ordinary shares but are subject to forfeiture until the applicable vesting conditions are met. Under the Sponsor Support Agreement, entered into on April 21, 2025 between GSR III and Terra Innovatum Srl., the Vesting Sponsor Shares vest in four equal 25% tranches upon achievement of specified milestones and are subject to the Agreement’s forfeiture, transfer, and voting restrictions. Any unvested shares automatically forfeit at the end of the applicable conversion periods unless an earlier change of control results in full or partial accelerated vesting based on the transaction price; additionally, a pro rata portion vests if the Convertible Preferred Shares are converted and distributed. On October 16, 2025, the conditions for two of the four vesting tranches were satisfied, resulting in the vesting, and issuance of 50% of the Vesting Sponsor Shares (approximately 274,750 shares), with the remaining 50% continuing to be subject to the applicable vesting and forfeiture provisions. The 274,750 ordinary shares vested are classified in equity in the consolidated balance sheets. The 274,750 ordinary shares unvested are classified as a liability, in share-settled contingent liability in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Preferred Share carries 10,000 votes at shareholder meetings and is mandatorily convertible into 10,000 ordinary shares upon satisfaction of the contractual conversion conditions set forth in the Business Combination Agreement and upon issuance of a conversion confirmation by the Company’s Board of Directors. Conversion is not at the discretion of the holder and occurs automatically upon satisfaction of the applicable milestone conditions. Convertible Preferred Shares do not participate in the Company’s general reserves or profits, but instead are entitled solely to allocations to and distributions from a separate special dividend reserve, which is a dedicated reserve maintained exclusively for the Convertible Preferred Shares, to which the Company must allocate annual and interim amounts as required by the AOA and from which distributions may be made only upon a proposal by the Company’s Board of Directors and approval by the Convertible Preferred Share class meeting (the “</w:t>
      </w:r>
      <w:r>
        <w:rPr>
          <w:rFonts w:ascii="Times New Roman;Times;Serif" w:hAnsi="Times New Roman;Times;Serif"/>
          <w:b/>
          <w:i w:val="false"/>
          <w:caps w:val="false"/>
          <w:smallCaps w:val="false"/>
          <w:sz w:val="20"/>
        </w:rPr>
        <w:t>Special Dividend Reserve”</w:t>
      </w:r>
      <w:r>
        <w:rPr>
          <w:rFonts w:ascii="Times New Roman;Times;Serif" w:hAnsi="Times New Roman;Times;Serif"/>
          <w:b w:val="false"/>
          <w:i w:val="false"/>
          <w:caps w:val="false"/>
          <w:smallCaps w:val="false"/>
          <w:sz w:val="20"/>
        </w:rPr>
        <w:t>). The Board of Directors may determine which part of the profits shall be reserved. The profits remaining after such reservation, shall first be applied to allocate and add to the Special Dividend Reserve being an amount equal to 1% of the aggregate nominal value of all outstanding Convertible Preferred Shares minus any amount that has been added to the Special Dividend Reserve in connection with an interim distribution made. Convertible Preferred Shares do not carry preemptive rights on issuances of ordinary- shares, and no shareholders have preemptive rights on issuances of Convertible Preferred Shares. Convertible Preferred Shares may not be pledged, and voting rights associated with any usufruct on Convertible Preferred Shares must remain with the shareholder. Upon liquidation, Convertible Preferred Shares participate pro rata with ordinary shares based on the number of shares held. As of December 31, 2025, there were no amounts allocated to the Special Dividend Reserve.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Liability-Classified Convertible Preferred Shares</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issued 8,000 Convertible Preferred Shares to former Terra quotaholders. The Convertible Preferred Shares are mandatorily convertible into the Company’s ordinary shares upon satisfaction of specified market-based and regulatory milestones, as further described in Note 2 –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contingent conversion features and other terms of the instrument, certain Convertible Preferred Shares are classified as share-settled contingent liabilities and are presented outside of shareholders’ equity. These instruments are non-derivative financial instruments, and the related accounting, including initial recognition and subsequent measurement, is described in Note 2 – Business Combination and Note 7 – Fair Value Measurements.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specified milestones were achieved, and on November 13, 2025 our Board of Directors issued a confirmation statement resulting in the conversion of 4,000 Convertible Preferred Shares into 40,000,000 ordinary shares. As of December 31, 2025, the remaining 4,000 Convertible Preferred Shares were legally outstanding and classified as share-settled contingent liabilities in the consolidated balance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SPAC Financial Advisor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issued 40 Convertible Preferred Shares to its financial advisor as consideration for advisory services. The awards represent equity-classified share-based compensation accounted for under ASC 718 and were measured at grant-date fair value with no subsequent remeasurement. The Company also issued ordinary shares to its SPAC financial advisor as consideration for advisory services. These awards were accounted for under ASC 718, and the associated grant-date fair value was recognized as stock-based compensation expense during the period in which the services were rendered. Total compensation cost recognized related to these arrangements during the year ended December 31, 2025 was approximately $6,049, which includes amounts associated with the Convertible Preferred Shares and ordinary shares issued pursuant to the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grant-date fair value of the 40 Convertible Preferred Shares was $925, estimated using a Monte Carlo option pricing model that considered a common stock price of $4.62, estimated volatility of 125.0%, and a risk-free interest rate of 3.84%. During the year ended December 31, 2025, the Company recognized $6,049 of share-based compensation expense related to these awards, which includes the portion attributable to the 20 Convertible Preferred Shares that converted to ordinary shares during the period, with no incremental compensation cost recognized upon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certain market-based vesting conditions were satisfied, and on November 13, 2025 our Board of Directors issued a confirmation statement resulting in the conversion of 20 Convertible Preferred Shares into 200,000 ordinary shares. The 20 remaining Convertible Preferred Shares outstanding at December 31, 2025 are subject to regulatory and market-based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assessed that achievement of the remaining regulatory milestones is probable. Accordingly, consistent with ASC 718, compensation cost for these awards has been fully recognized. Although the awards contain market-based and regulatory vesting conditions, the advisory services associated with these awards were fully rendered as of the closing date and no future service is required. As such, the full grant-date fair value was recognized in the period of issuance. The Company will continue to monitor the probability assessment of the regulatory milestones and will account for any changes in estimates in the period of change,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Preferred Shares are classified within shareholder’s equity and will remain subject to ASC 718 until settlement or conversion. As of December 31, 2025, 20 Convertible Preferred Shares remained legally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 Warrants – refer to Note 9 – Warrants for discussion on Advisor Warrants.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SPAC Financial Advisory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the Company entered into an engagement letter with a financial advisory services provider (the “</w:t>
      </w:r>
      <w:r>
        <w:rPr>
          <w:rFonts w:ascii="Times New Roman;Times;Serif" w:hAnsi="Times New Roman;Times;Serif"/>
          <w:b/>
          <w:i w:val="false"/>
          <w:caps w:val="false"/>
          <w:smallCaps w:val="false"/>
          <w:sz w:val="20"/>
        </w:rPr>
        <w:t>SPAC Financial Advisor”</w:t>
      </w:r>
      <w:r>
        <w:rPr>
          <w:rFonts w:ascii="Times New Roman;Times;Serif" w:hAnsi="Times New Roman;Times;Serif"/>
          <w:b w:val="false"/>
          <w:i w:val="false"/>
          <w:caps w:val="false"/>
          <w:smallCaps w:val="false"/>
          <w:sz w:val="20"/>
        </w:rPr>
        <w:t>) to assist with the negotiation, structuring, and execution of the Company’s business combination with a special purpose acquisition company (“</w:t>
      </w:r>
      <w:r>
        <w:rPr>
          <w:rFonts w:ascii="Times New Roman;Times;Serif" w:hAnsi="Times New Roman;Times;Serif"/>
          <w:b/>
          <w:i w:val="false"/>
          <w:caps w:val="false"/>
          <w:smallCaps w:val="false"/>
          <w:sz w:val="20"/>
        </w:rPr>
        <w:t>SPAC”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SPAC Financial Advisory Services Agreement”</w:t>
      </w:r>
      <w:r>
        <w:rPr>
          <w:rFonts w:ascii="Times New Roman;Times;Serif" w:hAnsi="Times New Roman;Times;Serif"/>
          <w:b w:val="false"/>
          <w:i w:val="false"/>
          <w:caps w:val="false"/>
          <w:smallCaps w:val="false"/>
          <w:sz w:val="20"/>
        </w:rPr>
        <w:t>). Under the agreement, the SPAC Financial Advisor also supported the preparation of marketing materials and efforts to secure potential backstop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October 9, 2025, the Company issued 223,000 ordinary shares to the SPAC Financial Advisor and also issued 40 Convertible Preferred Shares, which were contingently convertible into the Company’s ordinary shares at a ratio of 10,000 ordinary shares per Convertible Preferred Share, subject to milestone-based tranche conversion conditions pursuant to the Business Combination Agreement and the SPAC Financial Advisory Services Agreement. As mentioned above, on October 16, 2025, certain conversion milestones were achieved, and on November 13, 2025 our Board of Directors issued a confirmation statement resulting in the conversion of 20 Convertible Preferred Shares into 200,000 ordinary shares to the SPAC Financial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paid the cash success fee of $2,500 and the milestone fee of $225. During the year ended December 31, 2024, the Company paid the retainer fee of $50 and the LOI signature fee of $25. As of December 31, 2025, the Company had no non-cancelable remaining cash commitments under the SPAC Financial Advisory Services Agreement, as all remaining obligations are either contingent on future events or relate to reimbursable costs recognized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and Advisory Services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Company entered into an investor relations and advisory services agreement (the “</w:t>
      </w:r>
      <w:r>
        <w:rPr>
          <w:rFonts w:ascii="Times New Roman;Times;Serif" w:hAnsi="Times New Roman;Times;Serif"/>
          <w:b/>
          <w:i w:val="false"/>
          <w:caps w:val="false"/>
          <w:smallCaps w:val="false"/>
          <w:sz w:val="20"/>
        </w:rPr>
        <w:t>October 27, 2025 Investor Relations and Advisory Services Agreement”</w:t>
      </w:r>
      <w:r>
        <w:rPr>
          <w:rFonts w:ascii="Times New Roman;Times;Serif" w:hAnsi="Times New Roman;Times;Serif"/>
          <w:b w:val="false"/>
          <w:i w:val="false"/>
          <w:caps w:val="false"/>
          <w:smallCaps w:val="false"/>
          <w:sz w:val="20"/>
        </w:rPr>
        <w:t>) with the same vendor, effective November 1, 2025. The initial term extends through April 30, 2026, with automatic annual renewals unless terminated by either party with 60 days’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for a fixed monthly fee of $25, covering up to 84 hours of services allocated as follows: (i) 50 hours of investor relations, public relations, media, capital markets, and market-intelligence support for $17; (ii) 14 hours of social-media and communications services for $4; and (iii) 20 hours of business-development support for $5. The Company is also required to pay a 3% monthly service fee related to access to market-intelligence platforms. Additional services, including support for special situations such as M&amp;A or crisis management, are billed at the vendor’s standard hourly rates, which may reach up to $1 per hour depending on personnel level.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Advisory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22, 2025 Capital Markets Advisory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an agreement (the “</w:t>
      </w:r>
      <w:r>
        <w:rPr>
          <w:rFonts w:ascii="Times New Roman;Times;Serif" w:hAnsi="Times New Roman;Times;Serif"/>
          <w:b/>
          <w:i w:val="false"/>
          <w:caps w:val="false"/>
          <w:smallCaps w:val="false"/>
          <w:sz w:val="20"/>
        </w:rPr>
        <w:t>September 22, 2025 Capital Markets Advisory Agreement”</w:t>
      </w:r>
      <w:r>
        <w:rPr>
          <w:rFonts w:ascii="Times New Roman;Times;Serif" w:hAnsi="Times New Roman;Times;Serif"/>
          <w:b w:val="false"/>
          <w:i w:val="false"/>
          <w:caps w:val="false"/>
          <w:smallCaps w:val="false"/>
          <w:sz w:val="20"/>
        </w:rPr>
        <w:t>) for a 12-month engagement period commencing August 19, 2025. Under the agreement, the vendor provides strategic capital markets advisory services, including support through the Closing and post-close public company advisory. As consideration for these services, a cash fee of $150 is payable upon close of the business combination, with additional cash fees of $125 payable 90 days after close and $125 payable 180 days after close. The agreement includes standard indemnification provisions and may be terminated upon 10 days’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14, 2025 Capital Markets Advisory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entered into an agreement (the “</w:t>
      </w:r>
      <w:r>
        <w:rPr>
          <w:rFonts w:ascii="Times New Roman;Times;Serif" w:hAnsi="Times New Roman;Times;Serif"/>
          <w:b/>
          <w:i w:val="false"/>
          <w:caps w:val="false"/>
          <w:smallCaps w:val="false"/>
          <w:sz w:val="20"/>
        </w:rPr>
        <w:t>October 14, 2025 Capital Markets Advisory Agreement”</w:t>
      </w:r>
      <w:r>
        <w:rPr>
          <w:rFonts w:ascii="Times New Roman;Times;Serif" w:hAnsi="Times New Roman;Times;Serif"/>
          <w:b w:val="false"/>
          <w:i w:val="false"/>
          <w:caps w:val="false"/>
          <w:smallCaps w:val="false"/>
          <w:sz w:val="20"/>
        </w:rPr>
        <w:t>) with a vendor for a term of 24 months. Under the agreement, the vendor will provide advisory services including assistance with research coverage, investor meetings, non-deal roadshows, and participation in the vendor hosted investor conferences. As compensation for these services, a total of $600 is due, structured as follows: $300 in cash, payable 12 months from the agreement date and $300 in cash, payable 24 months from the agreement date. These fees are subject to reduction by any fees paid to the vendor for other transactions during the term, up to a maximum offset of $600. In the event of a change of control during the term, the full advisory fee becomes immediately due and payable. The agreement contains standard indemnification clauses and may be terminated earlier only in the event of breach or for cause.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23, 2025 Capital Markets Advisory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October 2025, the Company entered into an agreement (the “</w:t>
      </w:r>
      <w:r>
        <w:rPr>
          <w:rFonts w:ascii="Times New Roman;Times;Serif" w:hAnsi="Times New Roman;Times;Serif"/>
          <w:b/>
          <w:i w:val="false"/>
          <w:caps w:val="false"/>
          <w:smallCaps w:val="false"/>
          <w:sz w:val="20"/>
        </w:rPr>
        <w:t>October 23, 2025 Capital Markets Advisory Agreement”</w:t>
      </w:r>
      <w:r>
        <w:rPr>
          <w:rFonts w:ascii="Times New Roman;Times;Serif" w:hAnsi="Times New Roman;Times;Serif"/>
          <w:b w:val="false"/>
          <w:i w:val="false"/>
          <w:caps w:val="false"/>
          <w:smallCaps w:val="false"/>
          <w:sz w:val="20"/>
        </w:rPr>
        <w:t>) with a vendor to serve as the Company’s financial and capital markets advisor for a one-year term. Under the agreement, the vendor will provide advisory services including investor positioning, coordination of investor meetings, and participation in investor conferences, among other mutually agreed services. As consideration for its services, an advisory fee of $700 is due, payable in three installments, $233 which was paid upon execution of the agreement in October 2025, $233 on March 15, 2026, and $233 upon the end of the term of the agreement, October 23, 2026. The agreement contains standard indemnification clauses and may be terminated earlier only in the event of breach or for cause.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27, 2025 Capital Markets Advisory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entered into an agreement (the “</w:t>
      </w:r>
      <w:r>
        <w:rPr>
          <w:rFonts w:ascii="Times New Roman;Times;Serif" w:hAnsi="Times New Roman;Times;Serif"/>
          <w:b/>
          <w:i w:val="false"/>
          <w:caps w:val="false"/>
          <w:smallCaps w:val="false"/>
          <w:sz w:val="20"/>
        </w:rPr>
        <w:t>October 27, 2025 Capital Markets Advisory Agreement”</w:t>
      </w:r>
      <w:r>
        <w:rPr>
          <w:rFonts w:ascii="Times New Roman;Times;Serif" w:hAnsi="Times New Roman;Times;Serif"/>
          <w:b w:val="false"/>
          <w:i w:val="false"/>
          <w:caps w:val="false"/>
          <w:smallCaps w:val="false"/>
          <w:sz w:val="20"/>
        </w:rPr>
        <w:t>) with a vendor for a 12-month engagement period beginning January 1, 2026. Under the October 27, 2025 Capital Markets Advisory Agreement, the vendor will provide strategic capital markets advisory services, including development of capital market strategy, institutional investor relationship development, participation in conferences and investor meetings and non-deal roadshows and related support. As compensation for these services, an advisory fee of $350 is due, structured as follows: $105 which was paid upon execution of the agreement on October 27, 2025 and $245 payable on January 1, 2026. The October 27, 2025 Capital Markets Advisory Agreement includes standard indemnification clauses and may be terminated with 90 days’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an agreement (the “</w:t>
      </w:r>
      <w:r>
        <w:rPr>
          <w:rFonts w:ascii="Times New Roman;Times;Serif" w:hAnsi="Times New Roman;Times;Serif"/>
          <w:b/>
          <w:i w:val="false"/>
          <w:caps w:val="false"/>
          <w:smallCaps w:val="false"/>
          <w:sz w:val="20"/>
        </w:rPr>
        <w:t>December 1, 2025 Engineering Services Agreement”</w:t>
      </w:r>
      <w:r>
        <w:rPr>
          <w:rFonts w:ascii="Times New Roman;Times;Serif" w:hAnsi="Times New Roman;Times;Serif"/>
          <w:b w:val="false"/>
          <w:i w:val="false"/>
          <w:caps w:val="false"/>
          <w:smallCaps w:val="false"/>
          <w:sz w:val="20"/>
        </w:rPr>
        <w:t>) for vendor-provided engineering services in support of SOLO licensing activities. The agreement specifies total consideration of €433 (plus applicable VAT), payable in four monthly installments of €108.25 each, with payment due within 10 days of invoice. The agreement includes customary confidentiality, intellectual property, and governing-law provisions. The agreement contains standard indemnification clauses and may be terminated only for material breach, in which case the Company is obligated to pay only for services rendered through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Feasibility and Industrialization Study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an agreement with a vendor to conduct a feasibility and industrialization study (the “</w:t>
      </w:r>
      <w:r>
        <w:rPr>
          <w:rFonts w:ascii="Times New Roman;Times;Serif" w:hAnsi="Times New Roman;Times;Serif"/>
          <w:b/>
          <w:i w:val="false"/>
          <w:caps w:val="false"/>
          <w:smallCaps w:val="false"/>
          <w:sz w:val="20"/>
        </w:rPr>
        <w:t>Feasibility and Industrialization Study Agreement”</w:t>
      </w:r>
      <w:r>
        <w:rPr>
          <w:rFonts w:ascii="Times New Roman;Times;Serif" w:hAnsi="Times New Roman;Times;Serif"/>
          <w:b w:val="false"/>
          <w:i w:val="false"/>
          <w:caps w:val="false"/>
          <w:smallCaps w:val="false"/>
          <w:sz w:val="20"/>
        </w:rPr>
        <w:t>) for the SOLO Micro Modular Nuclear Reactor project. The Feasibility and Industrialization Study Agreement outlines a comprehensive scope of engineering, fabrication planning, cost analysis, and regulatory support activities to be performed by the vendor. Under the Feasibility and Industrialization Study Agreement, total consideration based on estimated man-hours and hourly rates as defined in the agreement is due with a payment structure including 10% of the total price payable within 7 days of execution, and the remaining balance payable monthly based on progress milestones and time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Feasibility and Industrialization Study Agreement allows for price adjustments if actual man-hours exceed estimates by more than 5%, or if additional activities are agreed upon. Any such adjustments will be subject to separate written agreement. The term of the Feasibility and industrialization Study Agreement is a minimum of 6 months and up to 24 months, effective upon receipt of the advance payment. Either party may terminate the agreement under specified conditions, including non-payment or breach.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Advisor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2025, the Company entered into an agreement (the “</w:t>
      </w:r>
      <w:r>
        <w:rPr>
          <w:rFonts w:ascii="Times New Roman;Times;Serif" w:hAnsi="Times New Roman;Times;Serif"/>
          <w:b/>
          <w:i w:val="false"/>
          <w:caps w:val="false"/>
          <w:smallCaps w:val="false"/>
          <w:sz w:val="20"/>
        </w:rPr>
        <w:t>Senior Advisor Agreement”</w:t>
      </w:r>
      <w:r>
        <w:rPr>
          <w:rFonts w:ascii="Times New Roman;Times;Serif" w:hAnsi="Times New Roman;Times;Serif"/>
          <w:b w:val="false"/>
          <w:i w:val="false"/>
          <w:caps w:val="false"/>
          <w:smallCaps w:val="false"/>
          <w:sz w:val="20"/>
        </w:rPr>
        <w:t>) with an independent contractor to serve as a strategic advisor and promoter for the Company, particularly in connection with the Business Combination. The term of the Senior Advisor Agreement is 36 months and outlines the independent contractor’s responsibilities, including strategic advisory, business development, investor introductions, and support for commercial agreements related to SOLO. Compensation includes a one-time grant of 180,000 restricted shares in the post-combination public entity (vesting over 36 months) and 1% commission on qualifying new business the independent contractor originates. As of December 31, 2025, these restricted shares have not been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Net Income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w:t>
      </w:r>
      <w:r>
        <w:rPr>
          <w:rFonts w:ascii="Times New Roman;Times;Serif" w:hAnsi="Times New Roman;Times;Serif"/>
          <w:b/>
          <w:i w:val="false"/>
          <w:caps w:val="false"/>
          <w:smallCaps w:val="false"/>
          <w:sz w:val="20"/>
        </w:rPr>
        <w:t>EPS”</w:t>
      </w:r>
      <w:r>
        <w:rPr>
          <w:rFonts w:ascii="Times New Roman;Times;Serif" w:hAnsi="Times New Roman;Times;Serif"/>
          <w:b w:val="false"/>
          <w:i w:val="false"/>
          <w:caps w:val="false"/>
          <w:smallCaps w:val="false"/>
          <w:sz w:val="20"/>
        </w:rPr>
        <w:t>) is computed by dividing net income (loss) attributable to ordinary shareholders by the weighted-average number of ordinary shares outstanding during the period. Diluted EPS reflects the effect of potentially dilutive securities and includes such securities only when dilutive. Potential ordinary shares are excluded from diluted EPS if their effect would be anti-dilutive or if issuance conditions have not been satisfied as of the reporting date. Contingently issuable shares are included in diluted EPS based on the number of shares that would be issuable if the reporting period end were the end of the contingency period and if the result would be dilutive. The two-class method is not applicable because the Company has no participating securities. Share-based awards, including the Convertible Preferred Shares issued to the Company’s financial advisor, do not have rights to dividends or dividend equivalents prior to conversion and therefore are not considered participating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completed the Business Combination accounted for as a recapitalization (see Note 2 – Business Combination). Consequently, historical share information has been retroactively restated to reflect 47,500,000 ordinary shares for periods prior to Closing. Post-Closing issuances and vestings are included from their respective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weighted-average shares outstanding include the 47,500,000 restated baseline for the pre-Closing portion of the year and shares issued/vested after Closing on a time-weighted basis. Diluted EPS includes only instruments that were dilutive for the period (e.g., in-the-money equity-classified warrants under the treasury stock method); contingently issuable tranches for which non-market conditions were not met at December 31, 2025 were excluded. At December 31, 2024, there were no dilutive potential ordinary shares; diluted EPS equals basic EPS, and the denominator reflects the 47,500,000 restated ordinary shares for the full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(loss) per share attributable to ordinary shareholders were calculated as follows (in thousands except share and per share amounts):</w:t>
      </w:r>
    </w:p>
    <w:p>
      <w:pPr>
        <w:pStyle w:val="TextBody"/>
        <w:bidi w:val="0"/>
        <w:spacing w:before="0" w:after="0"/>
        <w:ind w:left="0" w:right="0" w:firstLine="360"/>
        <w:jc w:val="left"/>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6110"/>
        <w:gridCol w:w="60"/>
        <w:gridCol w:w="140"/>
        <w:gridCol w:w="1100"/>
        <w:gridCol w:w="60"/>
        <w:gridCol w:w="60"/>
        <w:gridCol w:w="140"/>
        <w:gridCol w:w="1100"/>
        <w:gridCol w:w="110"/>
      </w:tblGrid>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539,524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p>
        </w:tc>
      </w:tr>
      <w:tr>
        <w:trPr/>
        <w:tc>
          <w:tcPr>
            <w:tcW w:w="611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Weighted-average ordinary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55,407,007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47,500,000</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Weighted average 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Effect of potentially dilutive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Weighted-average ordinary shares outstanding - dilutive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55,420,642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47,500,000</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b/>
              </w:rPr>
            </w:pPr>
            <w:r>
              <w:rPr>
                <w:b/>
              </w:rPr>
              <w:t>Net income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securities were excluded from diluted net income (loss) per share for the year ended December 31, 2025 because their issuance conditions were not satisfied at year-end—specifically, share-settled contingent liabilities (SSCL) related to (i) Convertible Preferred Shares issued to former Terra quotaholders that remained contingently convertible into 40,000,000 ordinary shares, (ii) Convertible Preferred Shares issued to the Company’s financial advisor that remained contingently convertible into 200,000 ordinary shares, and (iii) 274,750 unvested Sponsor ordinary shares subject to forfeiture under post-Closing vesting conditions. These instruments are contingently issuable or forfeitable based on unsatisfied non-market regulatory approval and/or vesting conditions. Market-based conditions were not a basis for exclusion and therefore are not considered outstanding or potential ordinary shares at December 31, 2025. Accordingly, these securities are not presented as anti-dilutive instruments and are excluded from diluted EPS until the applicable issuance or vesting conditions are satisfied.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liability-classified PIPE Warrants and Bridge Warrants were out-of-the-money at December 31, 2025 and therefore were anti-dilutive and excluded from diluted EPS, representing 4,475,591 potential shares (see Note 9 – Warrants). Advisor Warrants that were equity-classified and in-the-money during the period were included in diluted EPS using the treasury stock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events occurring after December 31, 2025 through the date the financial statements were available to be issued and determined that there were no transactions that would have materially changed the number of ordinary shares or potential ordinary shares outstanding for purposes of the earnings per share calculations had such transactions occurred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development-stage nuclear energy technology company focused on the research, development, and future commercialization of its SOLO micro-modular nuclear reactor. The CODM,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generated income before income taxes entirely in Italy. The Company also recorded no income tax expense or benefit due to current year tax losses and valuation allowance established against the Company’s net deferred tax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Company’s deferred tax assets and liabilities are as follows:</w:t>
      </w:r>
    </w:p>
    <w:p>
      <w:pPr>
        <w:pStyle w:val="TextBody"/>
        <w:bidi w:val="0"/>
        <w:spacing w:before="0" w:after="0"/>
        <w:ind w:left="0" w:right="0" w:firstLine="360"/>
        <w:jc w:val="left"/>
        <w:rPr>
          <w:caps w:val="false"/>
          <w:smallCaps w:val="false"/>
        </w:rPr>
      </w:pPr>
      <w:r>
        <w:rPr>
          <w:caps w:val="false"/>
          <w:smallCaps w:val="false"/>
        </w:rPr>
        <w:t> </w:t>
      </w:r>
    </w:p>
    <w:tbl>
      <w:tblPr>
        <w:tblW w:w="6704" w:type="dxa"/>
        <w:jc w:val="left"/>
        <w:tblInd w:w="0" w:type="dxa"/>
        <w:tblLayout w:type="fixed"/>
        <w:tblCellMar>
          <w:top w:w="0" w:type="dxa"/>
          <w:left w:w="0" w:type="dxa"/>
          <w:bottom w:w="0" w:type="dxa"/>
          <w:right w:w="0" w:type="dxa"/>
        </w:tblCellMar>
      </w:tblPr>
      <w:tblGrid>
        <w:gridCol w:w="5120"/>
        <w:gridCol w:w="60"/>
        <w:gridCol w:w="254"/>
        <w:gridCol w:w="1160"/>
        <w:gridCol w:w="110"/>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Net operating loss carryforward</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4,590</w:t>
            </w:r>
          </w:p>
        </w:tc>
        <w:tc>
          <w:tcPr>
            <w:tcW w:w="11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5,166</w:t>
            </w:r>
          </w:p>
        </w:tc>
        <w:tc>
          <w:tcPr>
            <w:tcW w:w="11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Total deferred tax assets before valuation allowance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9,783</w:t>
            </w:r>
          </w:p>
        </w:tc>
        <w:tc>
          <w:tcPr>
            <w:tcW w:w="11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(9,783</w:t>
            </w:r>
          </w:p>
        </w:tc>
        <w:tc>
          <w:tcPr>
            <w:tcW w:w="110" w:type="dxa"/>
            <w:tcBorders/>
            <w:shd w:fill="CCEEFF" w:val="clear"/>
            <w:vAlign w:val="center"/>
          </w:tcPr>
          <w:p>
            <w:pPr>
              <w:pStyle w:val="TableContents"/>
              <w:bidi w:val="0"/>
              <w:spacing w:before="0" w:after="283"/>
              <w:jc w:val="left"/>
              <w:rPr/>
            </w:pPr>
            <w:r>
              <w:rPr/>
              <w:t>)</w:t>
            </w:r>
          </w:p>
        </w:tc>
      </w:tr>
      <w:tr>
        <w:trPr/>
        <w:tc>
          <w:tcPr>
            <w:tcW w:w="5120" w:type="dxa"/>
            <w:tcBorders/>
            <w:shd w:fill="FFFFFF" w:val="clear"/>
            <w:vAlign w:val="center"/>
          </w:tcPr>
          <w:p>
            <w:pPr>
              <w:pStyle w:val="TableContents"/>
              <w:bidi w:val="0"/>
              <w:spacing w:before="0" w:after="283"/>
              <w:jc w:val="left"/>
              <w:rPr>
                <w:b/>
              </w:rPr>
            </w:pPr>
            <w:r>
              <w:rPr>
                <w:b/>
              </w:rPr>
              <w:t>Total deferred tax assets after valuation allowance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b/>
              </w:rPr>
            </w:pPr>
            <w:r>
              <w:rPr>
                <w:b/>
              </w:rPr>
              <w:t>Net deferred tax assets (liabilities)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realization of the tax benefits from existing temporary differences and tax attributes ultimately depends on the existence of sufficient future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established a valuation allowance of $9,783 as of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Company’s statutory tax rate and effective tax rate is as follows:</w:t>
      </w:r>
    </w:p>
    <w:p>
      <w:pPr>
        <w:pStyle w:val="TextBody"/>
        <w:bidi w:val="0"/>
        <w:spacing w:before="0" w:after="0"/>
        <w:ind w:left="0" w:right="0" w:firstLine="36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3470"/>
        <w:gridCol w:w="60"/>
        <w:gridCol w:w="173"/>
        <w:gridCol w:w="1085"/>
        <w:gridCol w:w="117"/>
        <w:gridCol w:w="74"/>
        <w:gridCol w:w="83"/>
        <w:gridCol w:w="717"/>
        <w:gridCol w:w="2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6"/>
            <w:tcBorders/>
            <w:vAlign w:val="center"/>
          </w:tcPr>
          <w:p>
            <w:pPr>
              <w:pStyle w:val="TableContents"/>
              <w:bidi w:val="0"/>
              <w:spacing w:before="0" w:after="283"/>
              <w:jc w:val="center"/>
              <w:rPr>
                <w:b/>
              </w:rPr>
            </w:pPr>
            <w:r>
              <w:rPr>
                <w:b/>
              </w:rPr>
              <w:t>For The Year Ended</w:t>
            </w:r>
          </w:p>
        </w:tc>
        <w:tc>
          <w:tcPr>
            <w:tcW w:w="2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2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Pretax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539,524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Statutory Tax Rate (IRES)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129,486</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24.0</w:t>
            </w:r>
          </w:p>
        </w:tc>
        <w:tc>
          <w:tcPr>
            <w:tcW w:w="275"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Subnational Taxes (IRAP)</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0.0</w:t>
            </w:r>
          </w:p>
        </w:tc>
        <w:tc>
          <w:tcPr>
            <w:tcW w:w="275"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9,783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Contingent liability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(134,392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-24.9</w:t>
            </w:r>
          </w:p>
        </w:tc>
        <w:tc>
          <w:tcPr>
            <w:tcW w:w="275"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(4,877</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-0.9</w:t>
            </w:r>
          </w:p>
        </w:tc>
        <w:tc>
          <w:tcPr>
            <w:tcW w:w="275"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b/>
              </w:rPr>
            </w:pPr>
            <w:r>
              <w:rPr>
                <w:b/>
              </w:rPr>
              <w:t>Effective Tax Rate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reconciliation uses Italy’s national statutory corporate income tax rate of 24% (IRES), which is the applicable statutory federal (national) income tax rate of the Company’s tax residency in Italy.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income taxes paid (net of refunds received) were $0 for federal (national) and state (subnational) jurisdictions in the Company’s tax residency in Italy and $0 for foreign jurisdictions (outside Italy).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in Italy of $19,124 that have an unlimited carryforward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The calculation and assessment of the Company’s income tax exposures generally involve the uncertainties in the application of complex tax laws and regulations for federal/national, state/subnational,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Italy which is the Company’s major jurisdiction where it is subject to tax examination by local tax authorities. The Company is not currently under examination for income taxes and is not aware of any issues under review that could result in significant payments, accruals or material deviation from its tax positions. The statute of limitations for the Company has expired for tax years prior to 2021.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not recorded any liabilities for uncertain tax positions including any related interest and penalties. The Company’s policy is to recognize interest and penalties related to uncertain tax positions in the provision for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June 15, 2026 the date the financial statements were available to be issued, and determined that there have been no events that have occurred that would require adjustments to disclosures in the financial statements other than the following: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entered into a lease agreement for office premises located in Lucca, Italy. The lease is for office and administrative use and has an initial noncancelable term of six years, commencing on April 1, 2026, and expiring on March 31, 2032, with automatic renewal for additional six year periods unless terminated in accordance with the lease terms. The annual base rent is approximately $88 (€75), payable in monthly installments of approximately $7 (€6), plus value added tax (VAT) as applicable, and is subject to annual escalation based on changes in the Italian consumer price index (ISTAT). Upon execution of the lease, the Company paid a security deposit of approximately $15 (€13), which is noninterest bearing and refundable at the end of the lease term, subject to return of the premises in accordance with the lease conditions, and the Company is responsible for utilities, ordinary maintenance, and other operating costs associated with the leased premises.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determined the incremental borrowing rate or other inputs necessary to measure the related right-of-use asset and lease liability; accordingly, the Company is unable to reasonably estimate the financial effect of this lease at this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655"/>
        <w:gridCol w:w="3755"/>
      </w:tblGrid>
      <w:tr>
        <w:trPr/>
        <w:tc>
          <w:tcPr>
            <w:tcW w:w="1655" w:type="dxa"/>
            <w:tcBorders/>
            <w:vAlign w:val="center"/>
          </w:tcPr>
          <w:p>
            <w:pPr>
              <w:pStyle w:val="TableContents"/>
              <w:bidi w:val="0"/>
              <w:spacing w:before="0" w:after="283"/>
              <w:jc w:val="left"/>
              <w:rPr>
                <w:sz w:val="20"/>
              </w:rPr>
            </w:pPr>
            <w:r>
              <w:rPr>
                <w:sz w:val="20"/>
              </w:rPr>
              <w:t>Date: June 15, 2026</w:t>
            </w:r>
          </w:p>
        </w:tc>
        <w:tc>
          <w:tcPr>
            <w:tcW w:w="3755" w:type="dxa"/>
            <w:tcBorders/>
            <w:vAlign w:val="center"/>
          </w:tcPr>
          <w:p>
            <w:pPr>
              <w:pStyle w:val="TableContents"/>
              <w:bidi w:val="0"/>
              <w:spacing w:before="0" w:after="283"/>
              <w:jc w:val="left"/>
              <w:rPr>
                <w:b/>
                <w:sz w:val="20"/>
              </w:rPr>
            </w:pPr>
            <w:r>
              <w:rPr>
                <w:b/>
                <w:sz w:val="20"/>
              </w:rPr>
              <w:t>Terra Innovatum Global N.V.</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7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Alessandro Petruzzi</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sz w:val="20"/>
              </w:rPr>
            </w:pPr>
            <w:r>
              <w:rPr>
                <w:sz w:val="20"/>
              </w:rPr>
              <w:t>Name: Alessandro Petruzzi</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sz w:val="20"/>
              </w:rPr>
            </w:pPr>
            <w:r>
              <w:rPr>
                <w:sz w:val="20"/>
              </w:rPr>
              <w:t>Title: Chief Executive Officer</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i/>
                <w:sz w:val="20"/>
              </w:rPr>
            </w:pPr>
            <w:r>
              <w:rPr>
                <w:i/>
                <w:sz w:val="20"/>
              </w:rPr>
              <w:t>(Principal Executive Officer)</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7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Katherine Williams </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sz w:val="20"/>
              </w:rPr>
            </w:pPr>
            <w:r>
              <w:rPr>
                <w:sz w:val="20"/>
              </w:rPr>
              <w:t>Name: Katherine Williams</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sz w:val="20"/>
              </w:rPr>
            </w:pPr>
            <w:r>
              <w:rPr>
                <w:sz w:val="20"/>
              </w:rPr>
              <w:t>Title: Chief Financial Officer</w:t>
            </w:r>
          </w:p>
        </w:tc>
      </w:tr>
      <w:tr>
        <w:trPr/>
        <w:tc>
          <w:tcPr>
            <w:tcW w:w="165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i/>
                <w:sz w:val="20"/>
              </w:rPr>
            </w:pPr>
            <w:r>
              <w:rPr>
                <w:i/>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1880"/>
        <w:gridCol w:w="60"/>
        <w:gridCol w:w="3515"/>
        <w:gridCol w:w="60"/>
        <w:gridCol w:w="1370"/>
      </w:tblGrid>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Alessandro Petruzzi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Director </w:t>
              <w:b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Alessandro Petruzzi</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Williams</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Director</w:t>
              <w:b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Williams</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Cesare Frepoli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and 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Cesare Frepoli</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Massimo Morichi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Strategy Officer and 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Massimo Morichi</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Rex S. Jackson</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Rex S. Jackson</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Howard</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Howard</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940" w:type="dxa"/>
            <w:gridSpan w:val="2"/>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Hastings</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June 15, 2026</w:t>
            </w:r>
          </w:p>
        </w:tc>
      </w:tr>
      <w:tr>
        <w:trPr/>
        <w:tc>
          <w:tcPr>
            <w:tcW w:w="1940"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Hastings</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2029023/000121390025035639/ea023953601ex2-1_gsr3acq.htm" TargetMode="External"/><Relationship Id="rId7" Type="http://schemas.openxmlformats.org/officeDocument/2006/relationships/hyperlink" Target="http://www.sec.gov/Archives/edgar/data/2067627/000121390025099636/ea026131601ex3-1_terra.htm" TargetMode="External"/><Relationship Id="rId8" Type="http://schemas.openxmlformats.org/officeDocument/2006/relationships/hyperlink" Target="http://www.sec.gov/Archives/edgar/data/2067627/000121390025099636/ea026131601ex3-2_terra.htm" TargetMode="External"/><Relationship Id="rId9" Type="http://schemas.openxmlformats.org/officeDocument/2006/relationships/hyperlink" Target="http://www.sec.gov/Archives/edgar/data/2029023/000121390025093094/ea025925401ex4-1_gsracq3.htm" TargetMode="External"/><Relationship Id="rId10" Type="http://schemas.openxmlformats.org/officeDocument/2006/relationships/hyperlink" Target="http://www.sec.gov/Archives/edgar/data/2029023/000121390025093094/ea025925401ex4-2_gsracq3.htm" TargetMode="External"/><Relationship Id="rId11" Type="http://schemas.openxmlformats.org/officeDocument/2006/relationships/hyperlink" Target="http://www.sec.gov/Archives/edgar/data/2067627/000121390025099636/ea026131601ex4-3_terra.htm" TargetMode="External"/><Relationship Id="rId12" Type="http://schemas.openxmlformats.org/officeDocument/2006/relationships/hyperlink" Target="https://www.sec.gov/Archives/edgar/data/2067627/000121390026068933/ea028585001ex4-4.htm" TargetMode="External"/><Relationship Id="rId13" Type="http://schemas.openxmlformats.org/officeDocument/2006/relationships/hyperlink" Target="http://www.sec.gov/Archives/edgar/data/2067627/000121390025099636/ea026131601ex10-1_terra.htm" TargetMode="External"/><Relationship Id="rId14" Type="http://schemas.openxmlformats.org/officeDocument/2006/relationships/hyperlink" Target="http://www.sec.gov/Archives/edgar/data/2029023/000121390025035639/ea023953601ex10-1_gsr3acq.htm" TargetMode="External"/><Relationship Id="rId15" Type="http://schemas.openxmlformats.org/officeDocument/2006/relationships/hyperlink" Target="http://www.sec.gov/Archives/edgar/data/2067627/000121390025099636/ea026131601ex10-3_terra.htm" TargetMode="External"/><Relationship Id="rId16" Type="http://schemas.openxmlformats.org/officeDocument/2006/relationships/hyperlink" Target="http://www.sec.gov/Archives/edgar/data/2029023/000121390025093094/ea025925401ex10-1_gsracq3.htm" TargetMode="External"/><Relationship Id="rId17" Type="http://schemas.openxmlformats.org/officeDocument/2006/relationships/hyperlink" Target="http://www.sec.gov/Archives/edgar/data/2067627/000121390025099636/ea026131601ex10-5_terra.htm" TargetMode="External"/><Relationship Id="rId18" Type="http://schemas.openxmlformats.org/officeDocument/2006/relationships/hyperlink" Target="http://www.sec.gov/Archives/edgar/data/2067627/000121390025125453/ea027086001ex10-1_terra.htm" TargetMode="External"/><Relationship Id="rId19" Type="http://schemas.openxmlformats.org/officeDocument/2006/relationships/hyperlink" Target="http://www.sec.gov/Archives/edgar/data/2067627/000121390025125453/ea027086001ex10-2_terra.htm" TargetMode="External"/><Relationship Id="rId20" Type="http://schemas.openxmlformats.org/officeDocument/2006/relationships/hyperlink" Target="http://www.sec.gov/Archives/edgar/data/2067627/000121390025125453/ea027086001ex10-3_terra.htm" TargetMode="External"/><Relationship Id="rId21" Type="http://schemas.openxmlformats.org/officeDocument/2006/relationships/hyperlink" Target="https://www.sec.gov/Archives/edgar/data/2067627/000121390026068933/ea028585001ex10-10.htm" TargetMode="External"/><Relationship Id="rId22" Type="http://schemas.openxmlformats.org/officeDocument/2006/relationships/hyperlink" Target="https://www.sec.gov/Archives/edgar/data/2067627/000121390026068933/ea028585001ex10-11.htm" TargetMode="External"/><Relationship Id="rId23" Type="http://schemas.openxmlformats.org/officeDocument/2006/relationships/hyperlink" Target="https://www.sec.gov/Archives/edgar/data/2067627/000121390026068933/ea028585001ex10-12.htm" TargetMode="External"/><Relationship Id="rId24" Type="http://schemas.openxmlformats.org/officeDocument/2006/relationships/hyperlink" Target="https://www.sec.gov/Archives/edgar/data/2067627/000121390026068933/ea028585001ex10-13.htm" TargetMode="External"/><Relationship Id="rId25" Type="http://schemas.openxmlformats.org/officeDocument/2006/relationships/hyperlink" Target="https://www.sec.gov/Archives/edgar/data/2067627/000121390026068933/ea028585001ex10-14.htm" TargetMode="External"/><Relationship Id="rId26" Type="http://schemas.openxmlformats.org/officeDocument/2006/relationships/hyperlink" Target="http://www.sec.gov/Archives/edgar/data/2067627/000121390025099636/ea026131601ex99-7_terra.htm" TargetMode="External"/><Relationship Id="rId27" Type="http://schemas.openxmlformats.org/officeDocument/2006/relationships/hyperlink" Target="https://www.sec.gov/Archives/edgar/data/2067627/000121390026068933/ea028585001ex21-1.htm" TargetMode="External"/><Relationship Id="rId28" Type="http://schemas.openxmlformats.org/officeDocument/2006/relationships/hyperlink" Target="https://www.sec.gov/Archives/edgar/data/2067627/000121390026068933/ea028585001ex23-1.htm" TargetMode="External"/><Relationship Id="rId29" Type="http://schemas.openxmlformats.org/officeDocument/2006/relationships/hyperlink" Target="https://www.sec.gov/Archives/edgar/data/2067627/000121390026068933/ea028585001ex31-1.htm" TargetMode="External"/><Relationship Id="rId30" Type="http://schemas.openxmlformats.org/officeDocument/2006/relationships/hyperlink" Target="https://www.sec.gov/Archives/edgar/data/2067627/000121390026068933/ea028585001ex31-2.htm" TargetMode="External"/><Relationship Id="rId31" Type="http://schemas.openxmlformats.org/officeDocument/2006/relationships/hyperlink" Target="https://www.sec.gov/Archives/edgar/data/2067627/000121390026068933/ea028585001ex32-1.htm" TargetMode="External"/><Relationship Id="rId32" Type="http://schemas.openxmlformats.org/officeDocument/2006/relationships/hyperlink" Target="https://www.sec.gov/Archives/edgar/data/2067627/000121390026068933/ea028585001ex32-2.htm" TargetMode="External"/><Relationship Id="rId33" Type="http://schemas.openxmlformats.org/officeDocument/2006/relationships/hyperlink" Target="http://www.sec.gov/Archives/edgar/data/2067627/000121390025099636/ea026131601ex99-6_terra.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66967</Words>
  <Characters>380002</Characters>
  <CharactersWithSpaces>447950</CharactersWithSpaces>
  <Paragraphs>6547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